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2465F" w:rsidR="001D1B5B" w:rsidP="004755C2" w:rsidRDefault="009F1036">
      <w:pPr>
        <w:autoSpaceDE w:val="0"/>
        <w:autoSpaceDN w:val="0"/>
        <w:adjustRightInd w:val="0"/>
        <w:spacing w:after="0" w:line="240" w:lineRule="auto"/>
        <w:jc w:val="both"/>
        <w:rPr>
          <w:rFonts w:ascii="Arial" w:hAnsi="Arial" w:eastAsia="Times New Roman" w:cs="Arial"/>
          <w:b/>
          <w:bCs/>
          <w:color w:val="CC0000"/>
          <w:sz w:val="24"/>
          <w:szCs w:val="24"/>
          <w:lang w:val="en-US"/>
        </w:rPr>
      </w:pPr>
      <w:r w:rsidRPr="0052465F">
        <w:rPr>
          <w:rFonts w:ascii="Arial" w:hAnsi="Arial" w:eastAsia="Times New Roman" w:cs="Arial"/>
          <w:b/>
          <w:bCs/>
          <w:color w:val="CC0000"/>
          <w:sz w:val="24"/>
          <w:szCs w:val="24"/>
          <w:lang w:val="en-US"/>
        </w:rPr>
        <w:t>Corporate Governance Standards for Shares Checklist</w:t>
      </w:r>
    </w:p>
    <w:p w:rsidRPr="009F1036" w:rsidR="00B508F0" w:rsidP="007D7DBD" w:rsidRDefault="00B508F0">
      <w:pPr>
        <w:autoSpaceDE w:val="0"/>
        <w:autoSpaceDN w:val="0"/>
        <w:adjustRightInd w:val="0"/>
        <w:spacing w:after="0" w:line="240" w:lineRule="auto"/>
        <w:jc w:val="both"/>
        <w:rPr>
          <w:rFonts w:ascii="Arial" w:hAnsi="Arial" w:eastAsia="Times New Roman" w:cs="Arial"/>
          <w:b/>
          <w:bCs/>
          <w:color w:val="CC0000"/>
          <w:szCs w:val="20"/>
          <w:lang w:val="en-US"/>
        </w:rPr>
      </w:pPr>
    </w:p>
    <w:p w:rsidR="00C2006C" w:rsidP="00C2006C" w:rsidRDefault="00C2006C">
      <w:pPr>
        <w:spacing w:after="0" w:line="240" w:lineRule="auto"/>
        <w:jc w:val="both"/>
        <w:rPr>
          <w:rFonts w:ascii="Arial" w:hAnsi="Arial" w:eastAsia="Times New Roman" w:cs="Times New Roman"/>
          <w:sz w:val="22"/>
          <w:lang w:val="en-US"/>
        </w:rPr>
      </w:pPr>
      <w:r w:rsidRPr="0052465F">
        <w:rPr>
          <w:rFonts w:ascii="Arial" w:hAnsi="Arial" w:eastAsia="Times New Roman" w:cs="Times New Roman"/>
          <w:sz w:val="22"/>
          <w:lang w:val="en-US"/>
        </w:rPr>
        <w:t xml:space="preserve">Notes for completing this checklist </w:t>
      </w:r>
    </w:p>
    <w:p w:rsidR="00F45AF5" w:rsidP="00C2006C" w:rsidRDefault="00F45AF5">
      <w:pPr>
        <w:spacing w:after="0" w:line="240" w:lineRule="auto"/>
        <w:jc w:val="both"/>
        <w:rPr>
          <w:rFonts w:ascii="Arial" w:hAnsi="Arial" w:eastAsia="Times New Roman" w:cs="Times New Roman"/>
          <w:sz w:val="22"/>
          <w:lang w:val="en-US"/>
        </w:rPr>
      </w:pPr>
    </w:p>
    <w:p w:rsidR="00F45AF5" w:rsidP="00F45AF5" w:rsidRDefault="00F45AF5">
      <w:pPr>
        <w:pStyle w:val="ListParagraph"/>
        <w:numPr>
          <w:ilvl w:val="0"/>
          <w:numId w:val="49"/>
        </w:numPr>
        <w:spacing w:after="0" w:line="240" w:lineRule="auto"/>
        <w:jc w:val="both"/>
        <w:rPr>
          <w:rFonts w:ascii="Arial" w:hAnsi="Arial" w:eastAsia="Times New Roman" w:cs="Times New Roman"/>
          <w:sz w:val="22"/>
          <w:lang w:val="en-US"/>
        </w:rPr>
      </w:pPr>
      <w:r w:rsidRPr="0052465F">
        <w:rPr>
          <w:rFonts w:ascii="Arial" w:hAnsi="Arial" w:eastAsia="Times New Roman" w:cs="Times New Roman"/>
          <w:sz w:val="22"/>
          <w:lang w:val="en-US"/>
        </w:rPr>
        <w:t xml:space="preserve">Please submit this checklist in substantially complete and accurate form together with the </w:t>
      </w:r>
      <w:r w:rsidR="00D5458E">
        <w:rPr>
          <w:rFonts w:ascii="Arial" w:hAnsi="Arial" w:eastAsia="Times New Roman" w:cs="Times New Roman"/>
          <w:sz w:val="22"/>
          <w:lang w:val="en-US"/>
        </w:rPr>
        <w:t>draft P</w:t>
      </w:r>
      <w:r w:rsidRPr="0052465F">
        <w:rPr>
          <w:rFonts w:ascii="Arial" w:hAnsi="Arial" w:eastAsia="Times New Roman" w:cs="Times New Roman"/>
          <w:sz w:val="22"/>
          <w:lang w:val="en-US"/>
        </w:rPr>
        <w:t>rospectus</w:t>
      </w:r>
    </w:p>
    <w:p w:rsidR="00F45AF5" w:rsidP="00F45AF5" w:rsidRDefault="00F45AF5">
      <w:pPr>
        <w:pStyle w:val="ListParagraph"/>
        <w:spacing w:after="0" w:line="240" w:lineRule="auto"/>
        <w:ind w:left="720"/>
        <w:jc w:val="both"/>
        <w:rPr>
          <w:rFonts w:ascii="Arial" w:hAnsi="Arial" w:eastAsia="Times New Roman" w:cs="Times New Roman"/>
          <w:sz w:val="22"/>
          <w:lang w:val="en-US"/>
        </w:rPr>
      </w:pPr>
    </w:p>
    <w:p w:rsidR="00F45AF5" w:rsidP="00F45AF5" w:rsidRDefault="00D5458E">
      <w:pPr>
        <w:pStyle w:val="ListParagraph"/>
        <w:numPr>
          <w:ilvl w:val="0"/>
          <w:numId w:val="49"/>
        </w:numPr>
        <w:spacing w:after="0" w:line="240" w:lineRule="auto"/>
        <w:jc w:val="both"/>
        <w:rPr>
          <w:rFonts w:ascii="Arial" w:hAnsi="Arial" w:eastAsia="Times New Roman" w:cs="Times New Roman"/>
          <w:sz w:val="22"/>
          <w:lang w:val="en-US"/>
        </w:rPr>
      </w:pPr>
      <w:r>
        <w:rPr>
          <w:rFonts w:ascii="Arial" w:hAnsi="Arial" w:eastAsia="Times New Roman" w:cs="Times New Roman"/>
          <w:sz w:val="22"/>
          <w:lang w:val="en-US"/>
        </w:rPr>
        <w:t>For final P</w:t>
      </w:r>
      <w:r w:rsidRPr="0052465F" w:rsidR="00F45AF5">
        <w:rPr>
          <w:rFonts w:ascii="Arial" w:hAnsi="Arial" w:eastAsia="Times New Roman" w:cs="Times New Roman"/>
          <w:sz w:val="22"/>
          <w:lang w:val="en-US"/>
        </w:rPr>
        <w:t>rospectus approval, please submit a final copy of the complete checklist signed by the sponsor</w:t>
      </w:r>
    </w:p>
    <w:p w:rsidRPr="00F45AF5" w:rsidR="00F45AF5" w:rsidP="00F45AF5" w:rsidRDefault="00F45AF5">
      <w:pPr>
        <w:spacing w:after="0" w:line="240" w:lineRule="auto"/>
        <w:jc w:val="both"/>
        <w:rPr>
          <w:rFonts w:ascii="Arial" w:hAnsi="Arial" w:eastAsia="Times New Roman" w:cs="Times New Roman"/>
          <w:sz w:val="22"/>
          <w:lang w:val="en-US"/>
        </w:rPr>
      </w:pPr>
    </w:p>
    <w:p w:rsidRPr="00F45AF5" w:rsidR="00F45AF5" w:rsidP="00F45AF5" w:rsidRDefault="00F45AF5">
      <w:pPr>
        <w:pStyle w:val="ListParagraph"/>
        <w:numPr>
          <w:ilvl w:val="0"/>
          <w:numId w:val="49"/>
        </w:numPr>
        <w:spacing w:after="0" w:line="240" w:lineRule="auto"/>
        <w:jc w:val="both"/>
        <w:rPr>
          <w:rFonts w:ascii="Arial" w:hAnsi="Arial" w:eastAsia="Times New Roman" w:cs="Times New Roman"/>
          <w:sz w:val="22"/>
          <w:lang w:val="en-US"/>
        </w:rPr>
      </w:pPr>
      <w:r w:rsidRPr="0052465F">
        <w:rPr>
          <w:rFonts w:ascii="Arial" w:hAnsi="Arial" w:eastAsia="Times New Roman" w:cs="Times New Roman"/>
          <w:sz w:val="22"/>
          <w:lang w:val="en-US"/>
        </w:rPr>
        <w:t xml:space="preserve">Sponsors do not have to provide a separate letter stating that items are non-applicable at the time of </w:t>
      </w:r>
      <w:r w:rsidR="00D5458E">
        <w:rPr>
          <w:rFonts w:ascii="Arial" w:hAnsi="Arial" w:eastAsia="Times New Roman" w:cs="Times New Roman"/>
          <w:sz w:val="22"/>
          <w:lang w:val="en-US"/>
        </w:rPr>
        <w:t>P</w:t>
      </w:r>
      <w:r w:rsidRPr="0052465F">
        <w:rPr>
          <w:rFonts w:ascii="Arial" w:hAnsi="Arial" w:eastAsia="Times New Roman" w:cs="Times New Roman"/>
          <w:sz w:val="22"/>
          <w:lang w:val="en-US"/>
        </w:rPr>
        <w:t>rospectus approval. Instead, they may state that they are non-applicable at the bottom of the signed checklist.</w:t>
      </w:r>
    </w:p>
    <w:p w:rsidRPr="0052465F" w:rsidR="00C2006C" w:rsidP="00C2006C" w:rsidRDefault="00C2006C">
      <w:pPr>
        <w:spacing w:after="0" w:line="240" w:lineRule="auto"/>
        <w:jc w:val="both"/>
        <w:rPr>
          <w:rFonts w:ascii="Arial" w:hAnsi="Arial" w:eastAsia="Times New Roman" w:cs="Times New Roman"/>
          <w:sz w:val="22"/>
          <w:lang w:val="en-US"/>
        </w:rPr>
      </w:pPr>
    </w:p>
    <w:p w:rsidRPr="0052465F" w:rsidR="00C2006C" w:rsidP="00F45AF5" w:rsidRDefault="00C2006C">
      <w:pPr>
        <w:spacing w:after="0" w:line="240" w:lineRule="auto"/>
        <w:jc w:val="both"/>
        <w:rPr>
          <w:rFonts w:ascii="Arial" w:hAnsi="Arial" w:eastAsia="Times New Roman" w:cs="Times New Roman"/>
          <w:sz w:val="22"/>
          <w:lang w:val="en-US"/>
        </w:rPr>
      </w:pPr>
    </w:p>
    <w:p w:rsidRPr="0052465F" w:rsidR="00C2006C" w:rsidP="007C377D" w:rsidRDefault="00C2006C">
      <w:pPr>
        <w:rPr>
          <w:rFonts w:ascii="Arial" w:hAnsi="Arial" w:eastAsia="Times New Roman" w:cs="Times New Roman"/>
          <w:sz w:val="22"/>
          <w:lang w:val="en-US"/>
        </w:rPr>
      </w:pPr>
      <w:r w:rsidRPr="0052465F">
        <w:rPr>
          <w:rFonts w:ascii="Arial" w:hAnsi="Arial" w:eastAsia="Times New Roman" w:cs="Times New Roman"/>
          <w:sz w:val="22"/>
          <w:lang w:val="en-US"/>
        </w:rPr>
        <w:br w:type="page"/>
      </w:r>
    </w:p>
    <w:tbl>
      <w:tblPr>
        <w:tblW w:w="9356"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104"/>
        <w:gridCol w:w="4252"/>
      </w:tblGrid>
      <w:tr w:rsidRPr="00F45AF5" w:rsidR="005B34EC" w:rsidTr="00D10E10">
        <w:trPr>
          <w:cantSplit/>
          <w:tblHeader/>
        </w:trPr>
        <w:tc>
          <w:tcPr>
            <w:tcW w:w="5104" w:type="dxa"/>
            <w:shd w:val="clear" w:color="auto" w:fill="FFFFFF"/>
            <w:tcMar>
              <w:top w:w="57" w:type="dxa"/>
            </w:tcMar>
          </w:tcPr>
          <w:p w:rsidRPr="00F45AF5" w:rsidR="005B34EC" w:rsidP="00D10E10" w:rsidRDefault="005B34EC">
            <w:pPr>
              <w:tabs>
                <w:tab w:val="right" w:leader="dot" w:pos="1451"/>
              </w:tabs>
              <w:spacing w:before="60" w:after="60" w:line="240" w:lineRule="auto"/>
              <w:rPr>
                <w:rFonts w:ascii="Arial" w:hAnsi="Arial" w:eastAsia="MS Mincho" w:cs="Arial"/>
                <w:sz w:val="22"/>
                <w:lang w:eastAsia="zh-CN"/>
              </w:rPr>
            </w:pPr>
            <w:r w:rsidRPr="00F45AF5">
              <w:rPr>
                <w:rFonts w:ascii="Arial" w:hAnsi="Arial" w:eastAsia="MS Mincho" w:cs="Arial"/>
                <w:sz w:val="22"/>
                <w:lang w:eastAsia="zh-CN"/>
              </w:rPr>
              <w:lastRenderedPageBreak/>
              <w:t xml:space="preserve">Name of Applicant </w:t>
            </w:r>
          </w:p>
        </w:tc>
        <w:tc>
          <w:tcPr>
            <w:tcW w:w="4252" w:type="dxa"/>
            <w:shd w:val="clear" w:color="auto" w:fill="FFFFFF"/>
            <w:tcMar>
              <w:top w:w="57" w:type="dxa"/>
            </w:tcMar>
          </w:tcPr>
          <w:p w:rsidRPr="00F45AF5" w:rsidR="005B34EC" w:rsidP="00D10E10" w:rsidRDefault="005B34EC">
            <w:pPr>
              <w:spacing w:before="40" w:after="40" w:line="240" w:lineRule="auto"/>
              <w:rPr>
                <w:rFonts w:ascii="Arial" w:hAnsi="Arial" w:eastAsia="Times New Roman" w:cs="Arial"/>
                <w:sz w:val="22"/>
                <w:lang w:eastAsia="en-GB"/>
              </w:rPr>
            </w:pPr>
            <w:r w:rsidRPr="00F45AF5">
              <w:rPr>
                <w:rFonts w:ascii="Arial" w:hAnsi="Arial" w:eastAsia="Times New Roman" w:cs="Times New Roman"/>
                <w:sz w:val="22"/>
                <w:lang w:val="en-US"/>
              </w:rPr>
              <w:fldChar w:fldCharType="begin">
                <w:ffData>
                  <w:name w:val="Text176"/>
                  <w:enabled/>
                  <w:calcOnExit w:val="0"/>
                  <w:textInput/>
                </w:ffData>
              </w:fldChar>
            </w:r>
            <w:r w:rsidRPr="00F45AF5">
              <w:rPr>
                <w:rFonts w:ascii="Arial" w:hAnsi="Arial" w:eastAsia="Times New Roman" w:cs="Times New Roman"/>
                <w:sz w:val="22"/>
                <w:lang w:val="en-US"/>
              </w:rPr>
              <w:instrText xml:space="preserve"> FORMTEXT </w:instrText>
            </w:r>
            <w:r w:rsidRPr="00F45AF5">
              <w:rPr>
                <w:rFonts w:ascii="Arial" w:hAnsi="Arial" w:eastAsia="Times New Roman" w:cs="Times New Roman"/>
                <w:sz w:val="22"/>
                <w:lang w:val="en-US"/>
              </w:rPr>
            </w:r>
            <w:r w:rsidRPr="00F45AF5">
              <w:rPr>
                <w:rFonts w:ascii="Arial" w:hAnsi="Arial" w:eastAsia="Times New Roman" w:cs="Times New Roman"/>
                <w:sz w:val="22"/>
                <w:lang w:val="en-US"/>
              </w:rPr>
              <w:fldChar w:fldCharType="separate"/>
            </w:r>
            <w:bookmarkStart w:name="_GoBack" w:id="0"/>
            <w:r w:rsidRPr="00F45AF5">
              <w:rPr>
                <w:rFonts w:ascii="Arial" w:hAnsi="Arial" w:eastAsia="Times New Roman" w:cs="Times New Roman"/>
                <w:noProof/>
                <w:sz w:val="22"/>
                <w:lang w:val="en-US"/>
              </w:rPr>
              <w:t> </w:t>
            </w:r>
            <w:r w:rsidRPr="00F45AF5">
              <w:rPr>
                <w:rFonts w:ascii="Arial" w:hAnsi="Arial" w:eastAsia="Times New Roman" w:cs="Times New Roman"/>
                <w:noProof/>
                <w:sz w:val="22"/>
                <w:lang w:val="en-US"/>
              </w:rPr>
              <w:t> </w:t>
            </w:r>
            <w:r w:rsidRPr="00F45AF5">
              <w:rPr>
                <w:rFonts w:ascii="Arial" w:hAnsi="Arial" w:eastAsia="Times New Roman" w:cs="Times New Roman"/>
                <w:noProof/>
                <w:sz w:val="22"/>
                <w:lang w:val="en-US"/>
              </w:rPr>
              <w:t> </w:t>
            </w:r>
            <w:r w:rsidRPr="00F45AF5">
              <w:rPr>
                <w:rFonts w:ascii="Arial" w:hAnsi="Arial" w:eastAsia="Times New Roman" w:cs="Times New Roman"/>
                <w:noProof/>
                <w:sz w:val="22"/>
                <w:lang w:val="en-US"/>
              </w:rPr>
              <w:t> </w:t>
            </w:r>
            <w:r w:rsidRPr="00F45AF5">
              <w:rPr>
                <w:rFonts w:ascii="Arial" w:hAnsi="Arial" w:eastAsia="Times New Roman" w:cs="Times New Roman"/>
                <w:noProof/>
                <w:sz w:val="22"/>
                <w:lang w:val="en-US"/>
              </w:rPr>
              <w:t> </w:t>
            </w:r>
            <w:bookmarkEnd w:id="0"/>
            <w:r w:rsidRPr="00F45AF5">
              <w:rPr>
                <w:rFonts w:ascii="Arial" w:hAnsi="Arial" w:eastAsia="Times New Roman" w:cs="Times New Roman"/>
                <w:sz w:val="22"/>
                <w:lang w:val="en-US"/>
              </w:rPr>
              <w:fldChar w:fldCharType="end"/>
            </w:r>
          </w:p>
        </w:tc>
      </w:tr>
      <w:tr w:rsidRPr="00F45AF5" w:rsidR="005B34EC" w:rsidTr="00D10E10">
        <w:trPr>
          <w:cantSplit/>
          <w:tblHeader/>
        </w:trPr>
        <w:tc>
          <w:tcPr>
            <w:tcW w:w="5104" w:type="dxa"/>
            <w:shd w:val="clear" w:color="auto" w:fill="FFFFFF"/>
            <w:tcMar>
              <w:top w:w="57" w:type="dxa"/>
            </w:tcMar>
          </w:tcPr>
          <w:p w:rsidRPr="00F45AF5" w:rsidR="005B34EC" w:rsidP="00D10E10" w:rsidRDefault="005B34EC">
            <w:pPr>
              <w:tabs>
                <w:tab w:val="right" w:leader="dot" w:pos="1451"/>
              </w:tabs>
              <w:spacing w:before="60" w:after="60" w:line="240" w:lineRule="auto"/>
              <w:rPr>
                <w:rFonts w:ascii="Arial" w:hAnsi="Arial" w:eastAsia="MS Mincho" w:cs="Arial"/>
                <w:sz w:val="22"/>
                <w:lang w:eastAsia="zh-CN"/>
              </w:rPr>
            </w:pPr>
            <w:r w:rsidRPr="00F45AF5">
              <w:rPr>
                <w:rFonts w:ascii="Arial" w:hAnsi="Arial" w:eastAsia="MS Mincho" w:cs="Arial"/>
                <w:sz w:val="22"/>
                <w:lang w:eastAsia="zh-CN"/>
              </w:rPr>
              <w:t>Nature of Transaction</w:t>
            </w:r>
          </w:p>
        </w:tc>
        <w:tc>
          <w:tcPr>
            <w:tcW w:w="4252" w:type="dxa"/>
            <w:shd w:val="clear" w:color="auto" w:fill="FFFFFF"/>
            <w:tcMar>
              <w:top w:w="57" w:type="dxa"/>
            </w:tcMar>
          </w:tcPr>
          <w:p w:rsidRPr="00F45AF5" w:rsidR="005B34EC" w:rsidP="00D10E10" w:rsidRDefault="005B34EC">
            <w:pPr>
              <w:spacing w:before="40" w:after="40" w:line="240" w:lineRule="auto"/>
              <w:rPr>
                <w:rFonts w:ascii="Arial" w:hAnsi="Arial" w:eastAsia="Times New Roman" w:cs="Arial"/>
                <w:sz w:val="22"/>
                <w:lang w:eastAsia="en-GB"/>
              </w:rPr>
            </w:pPr>
            <w:r w:rsidRPr="00F45AF5">
              <w:rPr>
                <w:rFonts w:ascii="Arial" w:hAnsi="Arial" w:eastAsia="Times New Roman" w:cs="Times New Roman"/>
                <w:sz w:val="22"/>
                <w:lang w:val="en-US"/>
              </w:rPr>
              <w:fldChar w:fldCharType="begin">
                <w:ffData>
                  <w:name w:val="Text176"/>
                  <w:enabled/>
                  <w:calcOnExit w:val="0"/>
                  <w:textInput/>
                </w:ffData>
              </w:fldChar>
            </w:r>
            <w:r w:rsidRPr="00F45AF5">
              <w:rPr>
                <w:rFonts w:ascii="Arial" w:hAnsi="Arial" w:eastAsia="Times New Roman" w:cs="Times New Roman"/>
                <w:sz w:val="22"/>
                <w:lang w:val="en-US"/>
              </w:rPr>
              <w:instrText xml:space="preserve"> FORMTEXT </w:instrText>
            </w:r>
            <w:r w:rsidRPr="00F45AF5">
              <w:rPr>
                <w:rFonts w:ascii="Arial" w:hAnsi="Arial" w:eastAsia="Times New Roman" w:cs="Times New Roman"/>
                <w:sz w:val="22"/>
                <w:lang w:val="en-US"/>
              </w:rPr>
            </w:r>
            <w:r w:rsidRPr="00F45AF5">
              <w:rPr>
                <w:rFonts w:ascii="Arial" w:hAnsi="Arial" w:eastAsia="Times New Roman" w:cs="Times New Roman"/>
                <w:sz w:val="22"/>
                <w:lang w:val="en-US"/>
              </w:rPr>
              <w:fldChar w:fldCharType="separate"/>
            </w:r>
            <w:r w:rsidRPr="00F45AF5">
              <w:rPr>
                <w:rFonts w:ascii="Arial" w:hAnsi="Arial" w:eastAsia="Times New Roman" w:cs="Times New Roman"/>
                <w:noProof/>
                <w:sz w:val="22"/>
                <w:lang w:val="en-US"/>
              </w:rPr>
              <w:t> </w:t>
            </w:r>
            <w:r w:rsidRPr="00F45AF5">
              <w:rPr>
                <w:rFonts w:ascii="Arial" w:hAnsi="Arial" w:eastAsia="Times New Roman" w:cs="Times New Roman"/>
                <w:noProof/>
                <w:sz w:val="22"/>
                <w:lang w:val="en-US"/>
              </w:rPr>
              <w:t> </w:t>
            </w:r>
            <w:r w:rsidRPr="00F45AF5">
              <w:rPr>
                <w:rFonts w:ascii="Arial" w:hAnsi="Arial" w:eastAsia="Times New Roman" w:cs="Times New Roman"/>
                <w:noProof/>
                <w:sz w:val="22"/>
                <w:lang w:val="en-US"/>
              </w:rPr>
              <w:t> </w:t>
            </w:r>
            <w:r w:rsidRPr="00F45AF5">
              <w:rPr>
                <w:rFonts w:ascii="Arial" w:hAnsi="Arial" w:eastAsia="Times New Roman" w:cs="Times New Roman"/>
                <w:noProof/>
                <w:sz w:val="22"/>
                <w:lang w:val="en-US"/>
              </w:rPr>
              <w:t> </w:t>
            </w:r>
            <w:r w:rsidRPr="00F45AF5">
              <w:rPr>
                <w:rFonts w:ascii="Arial" w:hAnsi="Arial" w:eastAsia="Times New Roman" w:cs="Times New Roman"/>
                <w:noProof/>
                <w:sz w:val="22"/>
                <w:lang w:val="en-US"/>
              </w:rPr>
              <w:t> </w:t>
            </w:r>
            <w:r w:rsidRPr="00F45AF5">
              <w:rPr>
                <w:rFonts w:ascii="Arial" w:hAnsi="Arial" w:eastAsia="Times New Roman" w:cs="Times New Roman"/>
                <w:sz w:val="22"/>
                <w:lang w:val="en-US"/>
              </w:rPr>
              <w:fldChar w:fldCharType="end"/>
            </w:r>
          </w:p>
        </w:tc>
      </w:tr>
      <w:tr w:rsidRPr="00F45AF5" w:rsidR="005B34EC" w:rsidTr="00D10E10">
        <w:trPr>
          <w:cantSplit/>
          <w:tblHeader/>
        </w:trPr>
        <w:tc>
          <w:tcPr>
            <w:tcW w:w="5104" w:type="dxa"/>
            <w:shd w:val="clear" w:color="auto" w:fill="FFFFFF"/>
            <w:tcMar>
              <w:top w:w="57" w:type="dxa"/>
            </w:tcMar>
          </w:tcPr>
          <w:p w:rsidRPr="00F45AF5" w:rsidR="005B34EC" w:rsidP="00D10E10" w:rsidRDefault="005B34EC">
            <w:pPr>
              <w:tabs>
                <w:tab w:val="right" w:leader="dot" w:pos="1451"/>
              </w:tabs>
              <w:spacing w:before="60" w:after="60" w:line="240" w:lineRule="auto"/>
              <w:rPr>
                <w:rFonts w:ascii="Arial" w:hAnsi="Arial" w:eastAsia="MS Mincho" w:cs="Arial"/>
                <w:sz w:val="22"/>
                <w:lang w:eastAsia="zh-CN"/>
              </w:rPr>
            </w:pPr>
            <w:r w:rsidRPr="00F45AF5">
              <w:rPr>
                <w:rFonts w:ascii="Arial" w:hAnsi="Arial" w:eastAsia="MS Mincho" w:cs="Arial"/>
                <w:sz w:val="22"/>
                <w:lang w:eastAsia="zh-CN"/>
              </w:rPr>
              <w:t>Name of Sponsor</w:t>
            </w:r>
          </w:p>
        </w:tc>
        <w:tc>
          <w:tcPr>
            <w:tcW w:w="4252" w:type="dxa"/>
            <w:shd w:val="clear" w:color="auto" w:fill="FFFFFF"/>
            <w:tcMar>
              <w:top w:w="57" w:type="dxa"/>
            </w:tcMar>
          </w:tcPr>
          <w:p w:rsidRPr="00F45AF5" w:rsidR="005B34EC" w:rsidP="00D10E10" w:rsidRDefault="005B34EC">
            <w:pPr>
              <w:spacing w:before="40" w:after="40" w:line="240" w:lineRule="auto"/>
              <w:rPr>
                <w:rFonts w:ascii="Arial" w:hAnsi="Arial" w:eastAsia="Times New Roman" w:cs="Times New Roman"/>
                <w:sz w:val="22"/>
                <w:lang w:val="en-US"/>
              </w:rPr>
            </w:pPr>
            <w:r w:rsidRPr="00F45AF5">
              <w:rPr>
                <w:rFonts w:ascii="Arial" w:hAnsi="Arial" w:eastAsia="Times New Roman" w:cs="Times New Roman"/>
                <w:sz w:val="22"/>
                <w:lang w:val="en-US"/>
              </w:rPr>
              <w:fldChar w:fldCharType="begin">
                <w:ffData>
                  <w:name w:val="Text176"/>
                  <w:enabled/>
                  <w:calcOnExit w:val="0"/>
                  <w:textInput/>
                </w:ffData>
              </w:fldChar>
            </w:r>
            <w:r w:rsidRPr="00F45AF5">
              <w:rPr>
                <w:rFonts w:ascii="Arial" w:hAnsi="Arial" w:eastAsia="Times New Roman" w:cs="Times New Roman"/>
                <w:sz w:val="22"/>
                <w:lang w:val="en-US"/>
              </w:rPr>
              <w:instrText xml:space="preserve"> FORMTEXT </w:instrText>
            </w:r>
            <w:r w:rsidRPr="00F45AF5">
              <w:rPr>
                <w:rFonts w:ascii="Arial" w:hAnsi="Arial" w:eastAsia="Times New Roman" w:cs="Times New Roman"/>
                <w:sz w:val="22"/>
                <w:lang w:val="en-US"/>
              </w:rPr>
            </w:r>
            <w:r w:rsidRPr="00F45AF5">
              <w:rPr>
                <w:rFonts w:ascii="Arial" w:hAnsi="Arial" w:eastAsia="Times New Roman" w:cs="Times New Roman"/>
                <w:sz w:val="22"/>
                <w:lang w:val="en-US"/>
              </w:rPr>
              <w:fldChar w:fldCharType="separate"/>
            </w:r>
            <w:r w:rsidRPr="00F45AF5">
              <w:rPr>
                <w:rFonts w:ascii="Arial" w:hAnsi="Arial" w:eastAsia="Times New Roman" w:cs="Times New Roman"/>
                <w:noProof/>
                <w:sz w:val="22"/>
                <w:lang w:val="en-US"/>
              </w:rPr>
              <w:t> </w:t>
            </w:r>
            <w:r w:rsidRPr="00F45AF5">
              <w:rPr>
                <w:rFonts w:ascii="Arial" w:hAnsi="Arial" w:eastAsia="Times New Roman" w:cs="Times New Roman"/>
                <w:noProof/>
                <w:sz w:val="22"/>
                <w:lang w:val="en-US"/>
              </w:rPr>
              <w:t> </w:t>
            </w:r>
            <w:r w:rsidRPr="00F45AF5">
              <w:rPr>
                <w:rFonts w:ascii="Arial" w:hAnsi="Arial" w:eastAsia="Times New Roman" w:cs="Times New Roman"/>
                <w:noProof/>
                <w:sz w:val="22"/>
                <w:lang w:val="en-US"/>
              </w:rPr>
              <w:t> </w:t>
            </w:r>
            <w:r w:rsidRPr="00F45AF5">
              <w:rPr>
                <w:rFonts w:ascii="Arial" w:hAnsi="Arial" w:eastAsia="Times New Roman" w:cs="Times New Roman"/>
                <w:noProof/>
                <w:sz w:val="22"/>
                <w:lang w:val="en-US"/>
              </w:rPr>
              <w:t> </w:t>
            </w:r>
            <w:r w:rsidRPr="00F45AF5">
              <w:rPr>
                <w:rFonts w:ascii="Arial" w:hAnsi="Arial" w:eastAsia="Times New Roman" w:cs="Times New Roman"/>
                <w:noProof/>
                <w:sz w:val="22"/>
                <w:lang w:val="en-US"/>
              </w:rPr>
              <w:t> </w:t>
            </w:r>
            <w:r w:rsidRPr="00F45AF5">
              <w:rPr>
                <w:rFonts w:ascii="Arial" w:hAnsi="Arial" w:eastAsia="Times New Roman" w:cs="Times New Roman"/>
                <w:sz w:val="22"/>
                <w:lang w:val="en-US"/>
              </w:rPr>
              <w:fldChar w:fldCharType="end"/>
            </w:r>
          </w:p>
        </w:tc>
      </w:tr>
      <w:tr w:rsidRPr="00F45AF5" w:rsidR="005B34EC" w:rsidTr="00D10E10">
        <w:trPr>
          <w:cantSplit/>
          <w:tblHeader/>
        </w:trPr>
        <w:tc>
          <w:tcPr>
            <w:tcW w:w="5104" w:type="dxa"/>
            <w:shd w:val="clear" w:color="auto" w:fill="FFFFFF"/>
            <w:tcMar>
              <w:top w:w="57" w:type="dxa"/>
            </w:tcMar>
          </w:tcPr>
          <w:p w:rsidRPr="00F45AF5" w:rsidR="005B34EC" w:rsidP="00D10E10" w:rsidRDefault="00D5458E">
            <w:pPr>
              <w:tabs>
                <w:tab w:val="right" w:leader="dot" w:pos="1451"/>
              </w:tabs>
              <w:spacing w:before="60" w:after="60" w:line="240" w:lineRule="auto"/>
              <w:rPr>
                <w:rFonts w:ascii="Arial" w:hAnsi="Arial" w:eastAsia="MS Mincho" w:cs="Arial"/>
                <w:sz w:val="22"/>
                <w:lang w:eastAsia="zh-CN"/>
              </w:rPr>
            </w:pPr>
            <w:r>
              <w:rPr>
                <w:rFonts w:ascii="Arial" w:hAnsi="Arial" w:eastAsia="MS Mincho" w:cs="Arial"/>
                <w:sz w:val="22"/>
                <w:lang w:eastAsia="zh-CN"/>
              </w:rPr>
              <w:t>Date S</w:t>
            </w:r>
            <w:r w:rsidRPr="00F45AF5" w:rsidR="005B34EC">
              <w:rPr>
                <w:rFonts w:ascii="Arial" w:hAnsi="Arial" w:eastAsia="MS Mincho" w:cs="Arial"/>
                <w:sz w:val="22"/>
                <w:lang w:eastAsia="zh-CN"/>
              </w:rPr>
              <w:t>ubmitted</w:t>
            </w:r>
          </w:p>
        </w:tc>
        <w:tc>
          <w:tcPr>
            <w:tcW w:w="4252" w:type="dxa"/>
            <w:shd w:val="clear" w:color="auto" w:fill="FFFFFF"/>
            <w:tcMar>
              <w:top w:w="57" w:type="dxa"/>
            </w:tcMar>
          </w:tcPr>
          <w:p w:rsidRPr="00F45AF5" w:rsidR="005B34EC" w:rsidP="00D10E10" w:rsidRDefault="005B34EC">
            <w:pPr>
              <w:spacing w:before="40" w:after="40" w:line="240" w:lineRule="auto"/>
              <w:rPr>
                <w:rFonts w:ascii="Arial" w:hAnsi="Arial" w:eastAsia="Times New Roman" w:cs="Arial"/>
                <w:sz w:val="22"/>
                <w:lang w:eastAsia="en-GB"/>
              </w:rPr>
            </w:pPr>
            <w:r w:rsidRPr="00F45AF5">
              <w:rPr>
                <w:rFonts w:ascii="Arial" w:hAnsi="Arial" w:eastAsia="Times New Roman" w:cs="Times New Roman"/>
                <w:sz w:val="22"/>
                <w:lang w:val="en-US"/>
              </w:rPr>
              <w:fldChar w:fldCharType="begin">
                <w:ffData>
                  <w:name w:val="Text176"/>
                  <w:enabled/>
                  <w:calcOnExit w:val="0"/>
                  <w:textInput/>
                </w:ffData>
              </w:fldChar>
            </w:r>
            <w:r w:rsidRPr="00F45AF5">
              <w:rPr>
                <w:rFonts w:ascii="Arial" w:hAnsi="Arial" w:eastAsia="Times New Roman" w:cs="Times New Roman"/>
                <w:sz w:val="22"/>
                <w:lang w:val="en-US"/>
              </w:rPr>
              <w:instrText xml:space="preserve"> FORMTEXT </w:instrText>
            </w:r>
            <w:r w:rsidRPr="00F45AF5">
              <w:rPr>
                <w:rFonts w:ascii="Arial" w:hAnsi="Arial" w:eastAsia="Times New Roman" w:cs="Times New Roman"/>
                <w:sz w:val="22"/>
                <w:lang w:val="en-US"/>
              </w:rPr>
            </w:r>
            <w:r w:rsidRPr="00F45AF5">
              <w:rPr>
                <w:rFonts w:ascii="Arial" w:hAnsi="Arial" w:eastAsia="Times New Roman" w:cs="Times New Roman"/>
                <w:sz w:val="22"/>
                <w:lang w:val="en-US"/>
              </w:rPr>
              <w:fldChar w:fldCharType="separate"/>
            </w:r>
            <w:r w:rsidRPr="00F45AF5">
              <w:rPr>
                <w:rFonts w:ascii="Arial" w:hAnsi="Arial" w:eastAsia="Times New Roman" w:cs="Times New Roman"/>
                <w:noProof/>
                <w:sz w:val="22"/>
                <w:lang w:val="en-US"/>
              </w:rPr>
              <w:t> </w:t>
            </w:r>
            <w:r w:rsidRPr="00F45AF5">
              <w:rPr>
                <w:rFonts w:ascii="Arial" w:hAnsi="Arial" w:eastAsia="Times New Roman" w:cs="Times New Roman"/>
                <w:noProof/>
                <w:sz w:val="22"/>
                <w:lang w:val="en-US"/>
              </w:rPr>
              <w:t> </w:t>
            </w:r>
            <w:r w:rsidRPr="00F45AF5">
              <w:rPr>
                <w:rFonts w:ascii="Arial" w:hAnsi="Arial" w:eastAsia="Times New Roman" w:cs="Times New Roman"/>
                <w:noProof/>
                <w:sz w:val="22"/>
                <w:lang w:val="en-US"/>
              </w:rPr>
              <w:t> </w:t>
            </w:r>
            <w:r w:rsidRPr="00F45AF5">
              <w:rPr>
                <w:rFonts w:ascii="Arial" w:hAnsi="Arial" w:eastAsia="Times New Roman" w:cs="Times New Roman"/>
                <w:noProof/>
                <w:sz w:val="22"/>
                <w:lang w:val="en-US"/>
              </w:rPr>
              <w:t> </w:t>
            </w:r>
            <w:r w:rsidRPr="00F45AF5">
              <w:rPr>
                <w:rFonts w:ascii="Arial" w:hAnsi="Arial" w:eastAsia="Times New Roman" w:cs="Times New Roman"/>
                <w:noProof/>
                <w:sz w:val="22"/>
                <w:lang w:val="en-US"/>
              </w:rPr>
              <w:t> </w:t>
            </w:r>
            <w:r w:rsidRPr="00F45AF5">
              <w:rPr>
                <w:rFonts w:ascii="Arial" w:hAnsi="Arial" w:eastAsia="Times New Roman" w:cs="Times New Roman"/>
                <w:sz w:val="22"/>
                <w:lang w:val="en-US"/>
              </w:rPr>
              <w:fldChar w:fldCharType="end"/>
            </w:r>
          </w:p>
        </w:tc>
      </w:tr>
    </w:tbl>
    <w:p w:rsidR="00C2006C" w:rsidP="001D1B5B" w:rsidRDefault="00C2006C">
      <w:pPr>
        <w:spacing w:after="0" w:line="240" w:lineRule="auto"/>
        <w:rPr>
          <w:b/>
          <w:color w:val="CC0000"/>
          <w:szCs w:val="24"/>
        </w:rPr>
      </w:pPr>
    </w:p>
    <w:p w:rsidRPr="00F45AF5" w:rsidR="001D1B5B" w:rsidP="001D1B5B" w:rsidRDefault="00C2006C">
      <w:pPr>
        <w:spacing w:after="0" w:line="240" w:lineRule="auto"/>
        <w:rPr>
          <w:rFonts w:ascii="Arial" w:hAnsi="Arial" w:eastAsia="Times New Roman" w:cs="Arial"/>
          <w:sz w:val="22"/>
          <w:lang w:val="en-US"/>
        </w:rPr>
      </w:pPr>
      <w:r w:rsidRPr="00F45AF5">
        <w:rPr>
          <w:rFonts w:ascii="Arial" w:hAnsi="Arial" w:cs="Arial"/>
          <w:b/>
          <w:color w:val="CC0000"/>
          <w:sz w:val="22"/>
        </w:rPr>
        <w:t>General</w:t>
      </w:r>
    </w:p>
    <w:p w:rsidR="00C2006C" w:rsidP="001D1B5B" w:rsidRDefault="00C2006C">
      <w:pPr>
        <w:spacing w:after="0" w:line="240" w:lineRule="auto"/>
        <w:rPr>
          <w:rFonts w:ascii="Arial" w:hAnsi="Arial" w:eastAsia="Times New Roman" w:cs="Times New Roman"/>
          <w:sz w:val="22"/>
          <w:lang w:val="en-US"/>
        </w:rPr>
      </w:pPr>
    </w:p>
    <w:p w:rsidR="00C2006C" w:rsidP="001D1B5B" w:rsidRDefault="00C2006C">
      <w:pPr>
        <w:spacing w:after="0" w:line="240" w:lineRule="auto"/>
        <w:rPr>
          <w:rFonts w:ascii="Arial" w:hAnsi="Arial" w:eastAsia="Times New Roman" w:cs="Times New Roman"/>
          <w:sz w:val="22"/>
          <w:lang w:val="en-US"/>
        </w:rPr>
      </w:pPr>
    </w:p>
    <w:p w:rsidRPr="00F45AF5" w:rsidR="00C2006C" w:rsidP="007C377D" w:rsidRDefault="00C2006C">
      <w:pPr>
        <w:pStyle w:val="ListParagraph"/>
        <w:numPr>
          <w:ilvl w:val="0"/>
          <w:numId w:val="48"/>
        </w:numPr>
        <w:spacing w:after="0" w:line="240" w:lineRule="auto"/>
        <w:jc w:val="both"/>
        <w:rPr>
          <w:rFonts w:ascii="Arial" w:hAnsi="Arial" w:cs="Arial"/>
          <w:sz w:val="22"/>
        </w:rPr>
      </w:pPr>
      <w:bookmarkStart w:name="_Toc287275419" w:id="1"/>
      <w:bookmarkStart w:name="_Toc287508762" w:id="2"/>
      <w:r w:rsidRPr="00F45AF5">
        <w:rPr>
          <w:rFonts w:ascii="Arial" w:hAnsi="Arial" w:cs="Arial"/>
          <w:sz w:val="22"/>
        </w:rPr>
        <w:t>This Appendix sets out, by way of Guidance, best practice standards relevant to each of the Corpor</w:t>
      </w:r>
      <w:r w:rsidR="00D5458E">
        <w:rPr>
          <w:rFonts w:ascii="Arial" w:hAnsi="Arial" w:cs="Arial"/>
          <w:sz w:val="22"/>
        </w:rPr>
        <w:t>ate Governance Principles (the Principles</w:t>
      </w:r>
      <w:r w:rsidRPr="00F45AF5">
        <w:rPr>
          <w:rFonts w:ascii="Arial" w:hAnsi="Arial" w:cs="Arial"/>
          <w:sz w:val="22"/>
        </w:rPr>
        <w:t>) set out in section 3.2.  While the Principles have the status of Rules that apply to a Reporting Entity, the standards in this document are best practice standards that may be adopted by a Reporting Entity to achieve compliance with the Principles.</w:t>
      </w:r>
      <w:bookmarkEnd w:id="1"/>
      <w:bookmarkEnd w:id="2"/>
      <w:r w:rsidRPr="00F45AF5">
        <w:rPr>
          <w:rFonts w:ascii="Arial" w:hAnsi="Arial" w:cs="Arial"/>
          <w:sz w:val="22"/>
        </w:rPr>
        <w:t xml:space="preserve">   </w:t>
      </w:r>
    </w:p>
    <w:p w:rsidRPr="00F45AF5" w:rsidR="007C377D" w:rsidP="007C377D" w:rsidRDefault="007C377D">
      <w:pPr>
        <w:pStyle w:val="ListParagraph"/>
        <w:spacing w:after="0" w:line="240" w:lineRule="auto"/>
        <w:ind w:left="720"/>
        <w:jc w:val="both"/>
        <w:rPr>
          <w:rFonts w:ascii="Arial" w:hAnsi="Arial" w:cs="Arial"/>
          <w:sz w:val="22"/>
        </w:rPr>
      </w:pPr>
    </w:p>
    <w:p w:rsidRPr="00F45AF5" w:rsidR="00C2006C" w:rsidP="007C377D" w:rsidRDefault="00C2006C">
      <w:pPr>
        <w:pStyle w:val="ListParagraph"/>
        <w:numPr>
          <w:ilvl w:val="0"/>
          <w:numId w:val="48"/>
        </w:numPr>
        <w:spacing w:after="0" w:line="240" w:lineRule="auto"/>
        <w:jc w:val="both"/>
        <w:rPr>
          <w:rFonts w:ascii="Arial" w:hAnsi="Arial" w:cs="Arial"/>
          <w:sz w:val="22"/>
        </w:rPr>
      </w:pPr>
      <w:bookmarkStart w:name="_Toc287275420" w:id="3"/>
      <w:bookmarkStart w:name="_Toc287508763" w:id="4"/>
      <w:r w:rsidRPr="00F45AF5">
        <w:rPr>
          <w:rFonts w:ascii="Arial" w:hAnsi="Arial" w:cs="Arial"/>
          <w:sz w:val="22"/>
        </w:rPr>
        <w:t>A Reporting Entity to which the Principles apply is required under Rule 3.2.10 to state in its annual report whether the best practice standards have been adopted.  In circumstances where a Reporting Entity has not fully adopted or only partially adopted the best practice standards, it needs to explain in its annual report why the standards were not fully adopted or adopted only partially and what actions, if any, it has taken to achieve compliance with the Principles.</w:t>
      </w:r>
      <w:bookmarkEnd w:id="3"/>
      <w:bookmarkEnd w:id="4"/>
      <w:r w:rsidRPr="00F45AF5">
        <w:rPr>
          <w:rFonts w:ascii="Arial" w:hAnsi="Arial" w:cs="Arial"/>
          <w:sz w:val="22"/>
        </w:rPr>
        <w:t xml:space="preserve">   </w:t>
      </w:r>
    </w:p>
    <w:p w:rsidRPr="00F45AF5" w:rsidR="007C377D" w:rsidP="007C377D" w:rsidRDefault="007C377D">
      <w:pPr>
        <w:pStyle w:val="ListParagraph"/>
        <w:spacing w:after="0" w:line="240" w:lineRule="auto"/>
        <w:ind w:left="720"/>
        <w:jc w:val="both"/>
        <w:rPr>
          <w:rFonts w:ascii="Arial" w:hAnsi="Arial" w:cs="Arial"/>
          <w:sz w:val="22"/>
        </w:rPr>
      </w:pPr>
    </w:p>
    <w:p w:rsidRPr="00F45AF5" w:rsidR="00C2006C" w:rsidP="007C377D" w:rsidRDefault="00C2006C">
      <w:pPr>
        <w:pStyle w:val="ListParagraph"/>
        <w:numPr>
          <w:ilvl w:val="0"/>
          <w:numId w:val="48"/>
        </w:numPr>
        <w:spacing w:after="0" w:line="240" w:lineRule="auto"/>
        <w:jc w:val="both"/>
        <w:rPr>
          <w:rFonts w:ascii="Arial" w:hAnsi="Arial" w:cs="Arial"/>
          <w:sz w:val="22"/>
        </w:rPr>
      </w:pPr>
      <w:r w:rsidRPr="00F45AF5">
        <w:rPr>
          <w:rFonts w:ascii="Arial" w:hAnsi="Arial" w:cs="Arial"/>
          <w:sz w:val="22"/>
        </w:rPr>
        <w:t xml:space="preserve">Article 39(1) of the Law provides that a Reporting Entity must have a corporate governance framework which is adequate to promote prudent and sound management of the Reporting Entity in the long-term interest of the Reporting Entity and its shareholders. Accordingly, in providing its explanation in the annual </w:t>
      </w:r>
      <w:r w:rsidR="00D5458E">
        <w:rPr>
          <w:rFonts w:ascii="Arial" w:hAnsi="Arial" w:cs="Arial"/>
          <w:sz w:val="22"/>
        </w:rPr>
        <w:t>report as noted in paragraph 2,</w:t>
      </w:r>
      <w:r w:rsidRPr="00F45AF5">
        <w:rPr>
          <w:rFonts w:ascii="Arial" w:hAnsi="Arial" w:cs="Arial"/>
          <w:sz w:val="22"/>
        </w:rPr>
        <w:t xml:space="preserve"> a Reporting Entity should aim to illustrate how its actual practices achieve compliance with the outcomes intended by Article 39(1) of the Law and the Principles, and thereby contribute to prudent and sound management of the Reporting Entity.</w:t>
      </w:r>
    </w:p>
    <w:p w:rsidRPr="00F45AF5" w:rsidR="007C377D" w:rsidP="007C377D" w:rsidRDefault="007C377D">
      <w:pPr>
        <w:pStyle w:val="ListParagraph"/>
        <w:spacing w:after="0" w:line="240" w:lineRule="auto"/>
        <w:ind w:left="720"/>
        <w:jc w:val="both"/>
        <w:rPr>
          <w:rFonts w:ascii="Arial" w:hAnsi="Arial" w:cs="Arial"/>
          <w:sz w:val="22"/>
        </w:rPr>
      </w:pPr>
    </w:p>
    <w:p w:rsidRPr="00F45AF5" w:rsidR="00C2006C" w:rsidP="007C377D" w:rsidRDefault="00C2006C">
      <w:pPr>
        <w:pStyle w:val="ListParagraph"/>
        <w:numPr>
          <w:ilvl w:val="0"/>
          <w:numId w:val="48"/>
        </w:numPr>
        <w:spacing w:after="0" w:line="240" w:lineRule="auto"/>
        <w:jc w:val="both"/>
        <w:rPr>
          <w:rFonts w:ascii="Arial" w:hAnsi="Arial" w:cs="Arial"/>
          <w:sz w:val="22"/>
        </w:rPr>
      </w:pPr>
      <w:r w:rsidRPr="00F45AF5">
        <w:rPr>
          <w:rFonts w:ascii="Arial" w:hAnsi="Arial" w:cs="Arial"/>
          <w:sz w:val="22"/>
        </w:rPr>
        <w:t xml:space="preserve">The annual report required under Rule 3.2.10 must include a statement </w:t>
      </w:r>
      <w:r w:rsidR="00D5458E">
        <w:rPr>
          <w:rFonts w:ascii="Arial" w:hAnsi="Arial" w:cs="Arial"/>
          <w:sz w:val="22"/>
        </w:rPr>
        <w:t>by the Board of Directors (the Board</w:t>
      </w:r>
      <w:r w:rsidRPr="00F45AF5">
        <w:rPr>
          <w:rFonts w:ascii="Arial" w:hAnsi="Arial" w:cs="Arial"/>
          <w:sz w:val="22"/>
        </w:rPr>
        <w:t>), stating whether or not, in its opinion, the corporate governance framework of the Reporting Entity is effective in achieving the outcome required by Article 39(1) and promoting compliance with the Principles, with supporting information and assumptions, and qualifications if necessary.  As the Principles are the core of the corporate governance framework, the way in which they are applied should be the central question for the Board as it determines how the Reporting Entity conducts its affairs under its directorship in accordance with the letter and spirit of the applicable requirements including the Principles and the standards.</w:t>
      </w:r>
    </w:p>
    <w:p w:rsidRPr="00F45AF5" w:rsidR="00C2006C" w:rsidP="007C377D" w:rsidRDefault="00C2006C">
      <w:pPr>
        <w:pStyle w:val="ListParagraph"/>
        <w:numPr>
          <w:ilvl w:val="0"/>
          <w:numId w:val="48"/>
        </w:numPr>
        <w:spacing w:after="0" w:line="240" w:lineRule="auto"/>
        <w:jc w:val="both"/>
        <w:rPr>
          <w:sz w:val="22"/>
        </w:rPr>
      </w:pPr>
      <w:bookmarkStart w:name="_Toc287275423" w:id="5"/>
      <w:bookmarkStart w:name="_Toc287508766" w:id="6"/>
      <w:r w:rsidRPr="00F45AF5">
        <w:rPr>
          <w:rFonts w:ascii="Arial" w:hAnsi="Arial" w:cs="Arial"/>
          <w:sz w:val="22"/>
        </w:rPr>
        <w:lastRenderedPageBreak/>
        <w:t>The “comply or explain” approach reflected in the standards recognises that there is more than one way to comply with the Principles to achieve sound and prudent governance of the Reporting Entity.  It also gives the Reporting Entity the flexibility to tailor its governance practices to achieve effective outcomes taking into account the nature, size</w:t>
      </w:r>
      <w:r w:rsidRPr="00F45AF5">
        <w:rPr>
          <w:sz w:val="22"/>
        </w:rPr>
        <w:t xml:space="preserve"> and complexity of its business.  For example, a Reporting Entity may have a small Board to reflect the small and less complex nature of its business, as opposed to a larger and more complex business which requires a larger Board.  It may not be possible to have a large number of committees of the small Board to undertake the functions of committees discussed in this Appendix.  In such cases, the Board as a whole may undertake all these functions, or alternatively, combine the roles of committees as appropriate.</w:t>
      </w:r>
      <w:bookmarkEnd w:id="5"/>
      <w:bookmarkEnd w:id="6"/>
      <w:r w:rsidRPr="00F45AF5">
        <w:rPr>
          <w:sz w:val="22"/>
        </w:rPr>
        <w:t xml:space="preserve">  </w:t>
      </w:r>
    </w:p>
    <w:p w:rsidRPr="00F45AF5" w:rsidR="007C377D" w:rsidP="007C377D" w:rsidRDefault="007C377D">
      <w:pPr>
        <w:pStyle w:val="ListParagraph"/>
        <w:spacing w:after="0" w:line="240" w:lineRule="auto"/>
        <w:ind w:left="720"/>
        <w:jc w:val="both"/>
        <w:rPr>
          <w:sz w:val="22"/>
        </w:rPr>
      </w:pPr>
    </w:p>
    <w:p w:rsidRPr="00F45AF5" w:rsidR="00C2006C" w:rsidP="007C377D" w:rsidRDefault="00C2006C">
      <w:pPr>
        <w:pStyle w:val="ListParagraph"/>
        <w:numPr>
          <w:ilvl w:val="0"/>
          <w:numId w:val="48"/>
        </w:numPr>
        <w:spacing w:after="0" w:line="240" w:lineRule="auto"/>
        <w:jc w:val="both"/>
        <w:rPr>
          <w:sz w:val="22"/>
        </w:rPr>
      </w:pPr>
      <w:bookmarkStart w:name="_Toc287275424" w:id="7"/>
      <w:bookmarkStart w:name="_Toc287508767" w:id="8"/>
      <w:r w:rsidRPr="00F45AF5">
        <w:rPr>
          <w:sz w:val="22"/>
        </w:rPr>
        <w:t>Where the standards set out in this Appendix are not adopted due to particular circumstances of the Reporting Entity, the reasons for deviating from the standards should be explained clearly and carefully in the Reporting Entity’s annual report, thereby providing shareholders the opportunity to make well informed decisions with regard to their voting and the exercise of their rights.</w:t>
      </w:r>
      <w:bookmarkEnd w:id="7"/>
      <w:bookmarkEnd w:id="8"/>
      <w:r w:rsidRPr="00F45AF5">
        <w:rPr>
          <w:sz w:val="22"/>
        </w:rPr>
        <w:t xml:space="preserve">    </w:t>
      </w:r>
    </w:p>
    <w:p w:rsidRPr="00F45AF5" w:rsidR="007C377D" w:rsidP="007C377D" w:rsidRDefault="007C377D">
      <w:pPr>
        <w:pStyle w:val="ListParagraph"/>
        <w:spacing w:after="0" w:line="240" w:lineRule="auto"/>
        <w:ind w:left="720"/>
        <w:jc w:val="both"/>
        <w:rPr>
          <w:sz w:val="22"/>
        </w:rPr>
      </w:pPr>
    </w:p>
    <w:p w:rsidRPr="00F45AF5" w:rsidR="00C2006C" w:rsidP="007C377D" w:rsidRDefault="00C2006C">
      <w:pPr>
        <w:pStyle w:val="ListParagraph"/>
        <w:numPr>
          <w:ilvl w:val="0"/>
          <w:numId w:val="48"/>
        </w:numPr>
        <w:spacing w:after="0" w:line="240" w:lineRule="auto"/>
        <w:jc w:val="both"/>
        <w:rPr>
          <w:sz w:val="22"/>
        </w:rPr>
      </w:pPr>
      <w:bookmarkStart w:name="_Toc287275425" w:id="9"/>
      <w:bookmarkStart w:name="_Toc287508768" w:id="10"/>
      <w:r w:rsidRPr="00F45AF5">
        <w:rPr>
          <w:sz w:val="22"/>
        </w:rPr>
        <w:t>The standards in this Appendix are not exhaustive and hence a Reporting Entity may implement any additional measures as required in order for it to comply with the Principles and contribute to sound and prudent governance of the entity.</w:t>
      </w:r>
      <w:bookmarkEnd w:id="9"/>
      <w:bookmarkEnd w:id="10"/>
      <w:r w:rsidRPr="00F45AF5">
        <w:rPr>
          <w:sz w:val="22"/>
        </w:rPr>
        <w:t xml:space="preserve">    </w:t>
      </w:r>
    </w:p>
    <w:p w:rsidRPr="00F45AF5" w:rsidR="007C377D" w:rsidP="007C377D" w:rsidRDefault="007C377D">
      <w:pPr>
        <w:pStyle w:val="ListParagraph"/>
        <w:spacing w:after="0" w:line="240" w:lineRule="auto"/>
        <w:ind w:left="720"/>
        <w:jc w:val="both"/>
        <w:rPr>
          <w:sz w:val="22"/>
        </w:rPr>
      </w:pPr>
    </w:p>
    <w:p w:rsidRPr="00F45AF5" w:rsidR="00C2006C" w:rsidP="007C377D" w:rsidRDefault="00C2006C">
      <w:pPr>
        <w:pStyle w:val="ListParagraph"/>
        <w:numPr>
          <w:ilvl w:val="0"/>
          <w:numId w:val="48"/>
        </w:numPr>
        <w:spacing w:after="0" w:line="240" w:lineRule="auto"/>
        <w:jc w:val="both"/>
        <w:rPr>
          <w:sz w:val="22"/>
        </w:rPr>
      </w:pPr>
      <w:bookmarkStart w:name="_Toc287275426" w:id="11"/>
      <w:bookmarkStart w:name="_Toc287508769" w:id="12"/>
      <w:r w:rsidRPr="00F45AF5">
        <w:rPr>
          <w:sz w:val="22"/>
        </w:rPr>
        <w:t>For the purposes of this Appendix “Senior Management” includes any individual who either alone or jointly has ultimate responsibility for the day to day management, supervision and control of one or more (or all) parts of a Reporting Entity’s business. Consistently with this, the Board</w:t>
      </w:r>
      <w:r w:rsidR="0092364F">
        <w:rPr>
          <w:sz w:val="22"/>
        </w:rPr>
        <w:t xml:space="preserve"> should adopt a definition of “S</w:t>
      </w:r>
      <w:r w:rsidRPr="00F45AF5">
        <w:rPr>
          <w:sz w:val="22"/>
        </w:rPr>
        <w:t xml:space="preserve">enior </w:t>
      </w:r>
      <w:r w:rsidR="0092364F">
        <w:rPr>
          <w:sz w:val="22"/>
        </w:rPr>
        <w:t>M</w:t>
      </w:r>
      <w:r w:rsidRPr="00F45AF5">
        <w:rPr>
          <w:sz w:val="22"/>
        </w:rPr>
        <w:t>anagement” that includes the first layer of management below the Board.</w:t>
      </w:r>
      <w:bookmarkEnd w:id="11"/>
      <w:bookmarkEnd w:id="12"/>
      <w:r w:rsidRPr="00F45AF5">
        <w:rPr>
          <w:sz w:val="22"/>
        </w:rPr>
        <w:t xml:space="preserve">  </w:t>
      </w:r>
    </w:p>
    <w:p w:rsidRPr="001D1B5B" w:rsidR="00C2006C" w:rsidP="001D1B5B" w:rsidRDefault="00C2006C">
      <w:pPr>
        <w:spacing w:after="0" w:line="240" w:lineRule="auto"/>
        <w:rPr>
          <w:rFonts w:ascii="Arial" w:hAnsi="Arial" w:eastAsia="Times New Roman" w:cs="Times New Roman"/>
          <w:sz w:val="22"/>
          <w:lang w:val="en-US"/>
        </w:rPr>
      </w:pPr>
    </w:p>
    <w:tbl>
      <w:tblPr>
        <w:tblW w:w="9271"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709"/>
        <w:gridCol w:w="9"/>
        <w:gridCol w:w="4432"/>
        <w:gridCol w:w="2080"/>
        <w:gridCol w:w="10"/>
        <w:gridCol w:w="2031"/>
      </w:tblGrid>
      <w:tr w:rsidRPr="00F45AF5" w:rsidR="001D1B5B" w:rsidTr="00C03C08">
        <w:trPr>
          <w:cantSplit/>
          <w:tblHeader/>
        </w:trPr>
        <w:tc>
          <w:tcPr>
            <w:tcW w:w="5150" w:type="dxa"/>
            <w:gridSpan w:val="3"/>
            <w:tcBorders>
              <w:bottom w:val="single" w:color="auto" w:sz="4" w:space="0"/>
            </w:tcBorders>
            <w:shd w:val="clear" w:color="auto" w:fill="FFFFFF"/>
            <w:tcMar>
              <w:top w:w="57" w:type="dxa"/>
            </w:tcMar>
            <w:vAlign w:val="center"/>
          </w:tcPr>
          <w:p w:rsidRPr="00F45AF5" w:rsidR="001D1B5B" w:rsidP="001D1B5B" w:rsidRDefault="001D1B5B">
            <w:pPr>
              <w:spacing w:after="0" w:line="240" w:lineRule="auto"/>
              <w:rPr>
                <w:rFonts w:ascii="Arial" w:hAnsi="Arial" w:eastAsia="MS Mincho" w:cs="Arial"/>
                <w:b/>
                <w:szCs w:val="20"/>
                <w:lang w:val="en-US"/>
              </w:rPr>
            </w:pPr>
          </w:p>
        </w:tc>
        <w:tc>
          <w:tcPr>
            <w:tcW w:w="2090" w:type="dxa"/>
            <w:gridSpan w:val="2"/>
            <w:tcBorders>
              <w:bottom w:val="single" w:color="auto" w:sz="4" w:space="0"/>
            </w:tcBorders>
            <w:shd w:val="clear" w:color="auto" w:fill="FFFFFF"/>
            <w:tcMar>
              <w:top w:w="57" w:type="dxa"/>
            </w:tcMar>
            <w:vAlign w:val="center"/>
          </w:tcPr>
          <w:p w:rsidRPr="00F45AF5" w:rsidR="001D1B5B" w:rsidP="001D1B5B" w:rsidRDefault="00C2006C">
            <w:pPr>
              <w:spacing w:before="40" w:after="40" w:line="240" w:lineRule="auto"/>
              <w:rPr>
                <w:rFonts w:ascii="Arial" w:hAnsi="Arial" w:eastAsia="Times New Roman" w:cs="Arial"/>
                <w:b/>
                <w:szCs w:val="20"/>
                <w:lang w:eastAsia="en-GB"/>
              </w:rPr>
            </w:pPr>
            <w:r w:rsidRPr="00F45AF5">
              <w:rPr>
                <w:rFonts w:ascii="Arial" w:hAnsi="Arial" w:eastAsia="Times New Roman" w:cs="Arial"/>
                <w:b/>
                <w:szCs w:val="20"/>
                <w:lang w:eastAsia="en-GB"/>
              </w:rPr>
              <w:t>Confirmed</w:t>
            </w:r>
          </w:p>
        </w:tc>
        <w:tc>
          <w:tcPr>
            <w:tcW w:w="2031" w:type="dxa"/>
            <w:tcBorders>
              <w:bottom w:val="single" w:color="auto" w:sz="4" w:space="0"/>
            </w:tcBorders>
            <w:shd w:val="clear" w:color="auto" w:fill="FFFFFF"/>
            <w:tcMar>
              <w:top w:w="57" w:type="dxa"/>
            </w:tcMar>
            <w:vAlign w:val="center"/>
          </w:tcPr>
          <w:p w:rsidRPr="00F45AF5" w:rsidR="001D1B5B" w:rsidP="001D1B5B" w:rsidRDefault="001D1B5B">
            <w:pPr>
              <w:spacing w:before="40" w:after="40" w:line="240" w:lineRule="auto"/>
              <w:rPr>
                <w:rFonts w:ascii="Arial" w:hAnsi="Arial" w:eastAsia="Times New Roman" w:cs="Arial"/>
                <w:b/>
                <w:szCs w:val="20"/>
                <w:lang w:eastAsia="en-GB"/>
              </w:rPr>
            </w:pPr>
            <w:r w:rsidRPr="00F45AF5">
              <w:rPr>
                <w:rFonts w:ascii="Arial" w:hAnsi="Arial" w:eastAsia="Times New Roman" w:cs="Arial"/>
                <w:b/>
                <w:szCs w:val="20"/>
                <w:lang w:eastAsia="en-GB"/>
              </w:rPr>
              <w:t>Comment</w:t>
            </w:r>
            <w:r w:rsidRPr="00F45AF5" w:rsidR="00C2006C">
              <w:rPr>
                <w:rFonts w:ascii="Arial" w:hAnsi="Arial" w:eastAsia="Times New Roman" w:cs="Arial"/>
                <w:b/>
                <w:szCs w:val="20"/>
                <w:lang w:eastAsia="en-GB"/>
              </w:rPr>
              <w:t xml:space="preserve"> (where applicable)</w:t>
            </w:r>
          </w:p>
        </w:tc>
      </w:tr>
      <w:tr w:rsidRPr="00F45AF5" w:rsidR="001D1B5B" w:rsidTr="00C03C08">
        <w:trPr>
          <w:cantSplit/>
        </w:trPr>
        <w:tc>
          <w:tcPr>
            <w:tcW w:w="709" w:type="dxa"/>
            <w:tcBorders>
              <w:right w:val="nil"/>
            </w:tcBorders>
            <w:tcMar>
              <w:top w:w="57" w:type="dxa"/>
            </w:tcMar>
          </w:tcPr>
          <w:p w:rsidRPr="00F45AF5" w:rsidR="001D1B5B" w:rsidP="001D1B5B" w:rsidRDefault="001D1B5B">
            <w:pPr>
              <w:spacing w:after="0" w:line="240" w:lineRule="auto"/>
              <w:rPr>
                <w:rFonts w:ascii="Arial" w:hAnsi="Arial" w:eastAsia="Times New Roman" w:cs="Arial"/>
                <w:szCs w:val="20"/>
                <w:lang w:val="en-US"/>
              </w:rPr>
            </w:pPr>
          </w:p>
        </w:tc>
        <w:tc>
          <w:tcPr>
            <w:tcW w:w="4441" w:type="dxa"/>
            <w:gridSpan w:val="2"/>
            <w:tcBorders>
              <w:left w:val="nil"/>
            </w:tcBorders>
            <w:tcMar>
              <w:top w:w="57" w:type="dxa"/>
            </w:tcMar>
          </w:tcPr>
          <w:p w:rsidRPr="00F45AF5" w:rsidR="001D1B5B" w:rsidP="0092364F" w:rsidRDefault="00A91CE0">
            <w:pPr>
              <w:spacing w:after="0" w:line="240" w:lineRule="auto"/>
              <w:jc w:val="both"/>
              <w:rPr>
                <w:rFonts w:ascii="Arial" w:hAnsi="Arial" w:eastAsia="Times New Roman" w:cs="Arial"/>
                <w:szCs w:val="20"/>
                <w:lang w:val="en-US"/>
              </w:rPr>
            </w:pPr>
            <w:r w:rsidRPr="00F45AF5">
              <w:rPr>
                <w:rFonts w:ascii="Arial" w:hAnsi="Arial" w:cs="Arial"/>
                <w:b/>
                <w:color w:val="CC0000"/>
                <w:szCs w:val="20"/>
              </w:rPr>
              <w:t xml:space="preserve">Principle 1 – Board of </w:t>
            </w:r>
            <w:r w:rsidR="0092364F">
              <w:rPr>
                <w:rFonts w:ascii="Arial" w:hAnsi="Arial" w:cs="Arial"/>
                <w:b/>
                <w:color w:val="CC0000"/>
                <w:szCs w:val="20"/>
              </w:rPr>
              <w:t>D</w:t>
            </w:r>
            <w:r w:rsidRPr="00F45AF5">
              <w:rPr>
                <w:rFonts w:ascii="Arial" w:hAnsi="Arial" w:cs="Arial"/>
                <w:b/>
                <w:color w:val="CC0000"/>
                <w:szCs w:val="20"/>
              </w:rPr>
              <w:t>irectors</w:t>
            </w:r>
          </w:p>
        </w:tc>
        <w:tc>
          <w:tcPr>
            <w:tcW w:w="2080" w:type="dxa"/>
            <w:tcMar>
              <w:top w:w="57" w:type="dxa"/>
            </w:tcMar>
          </w:tcPr>
          <w:p w:rsidRPr="00F45AF5" w:rsidR="001D1B5B" w:rsidP="001D1B5B" w:rsidRDefault="001D1B5B">
            <w:pPr>
              <w:spacing w:before="40" w:after="40" w:line="240" w:lineRule="auto"/>
              <w:rPr>
                <w:rFonts w:ascii="Arial" w:hAnsi="Arial" w:eastAsia="Times New Roman" w:cs="Arial"/>
                <w:szCs w:val="20"/>
                <w:lang w:eastAsia="en-GB"/>
              </w:rPr>
            </w:pPr>
          </w:p>
        </w:tc>
        <w:tc>
          <w:tcPr>
            <w:tcW w:w="2041" w:type="dxa"/>
            <w:gridSpan w:val="2"/>
            <w:tcMar>
              <w:top w:w="57" w:type="dxa"/>
            </w:tcMar>
          </w:tcPr>
          <w:p w:rsidRPr="00F45AF5" w:rsidR="001D1B5B" w:rsidP="001D1B5B" w:rsidRDefault="001D1B5B">
            <w:pPr>
              <w:spacing w:before="40" w:after="40" w:line="240" w:lineRule="auto"/>
              <w:rPr>
                <w:rFonts w:ascii="Arial" w:hAnsi="Arial" w:eastAsia="Times New Roman" w:cs="Arial"/>
                <w:szCs w:val="20"/>
                <w:lang w:eastAsia="en-GB"/>
              </w:rPr>
            </w:pPr>
          </w:p>
        </w:tc>
      </w:tr>
      <w:tr w:rsidRPr="00F45AF5" w:rsidR="001D1B5B" w:rsidTr="00C03C08">
        <w:trPr>
          <w:cantSplit/>
        </w:trPr>
        <w:tc>
          <w:tcPr>
            <w:tcW w:w="718" w:type="dxa"/>
            <w:gridSpan w:val="2"/>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9.</w:t>
            </w:r>
          </w:p>
        </w:tc>
        <w:tc>
          <w:tcPr>
            <w:tcW w:w="4432" w:type="dxa"/>
            <w:tcBorders>
              <w:left w:val="nil"/>
            </w:tcBorders>
            <w:tcMar>
              <w:top w:w="57" w:type="dxa"/>
            </w:tcMar>
          </w:tcPr>
          <w:p w:rsidRPr="00F45AF5" w:rsidR="001D1B5B" w:rsidP="00C2006C" w:rsidRDefault="00A91CE0">
            <w:pPr>
              <w:spacing w:after="0" w:line="240" w:lineRule="auto"/>
              <w:jc w:val="both"/>
              <w:rPr>
                <w:rFonts w:ascii="Arial" w:hAnsi="Arial" w:eastAsia="Times New Roman" w:cs="Arial"/>
                <w:szCs w:val="20"/>
                <w:lang w:val="en-US"/>
              </w:rPr>
            </w:pPr>
            <w:bookmarkStart w:name="_Toc287275427" w:id="13"/>
            <w:bookmarkStart w:name="_Toc287508770" w:id="14"/>
            <w:r w:rsidRPr="00F45AF5">
              <w:rPr>
                <w:rFonts w:ascii="Arial" w:hAnsi="Arial" w:cs="Arial"/>
                <w:szCs w:val="20"/>
              </w:rPr>
              <w:t>The r</w:t>
            </w:r>
            <w:r w:rsidR="0092364F">
              <w:rPr>
                <w:rFonts w:ascii="Arial" w:hAnsi="Arial" w:cs="Arial"/>
                <w:szCs w:val="20"/>
              </w:rPr>
              <w:t>ole of the Board of Directors (Board</w:t>
            </w:r>
            <w:r w:rsidRPr="00F45AF5">
              <w:rPr>
                <w:rFonts w:ascii="Arial" w:hAnsi="Arial" w:cs="Arial"/>
                <w:szCs w:val="20"/>
              </w:rPr>
              <w:t>) is to provide leadership of the Reporting Entity within a framework of prudent and effective controls which enable risks to which the Reporting Entity is exposed to be identified, assessed and effectively managed.</w:t>
            </w:r>
            <w:bookmarkEnd w:id="13"/>
            <w:bookmarkEnd w:id="14"/>
            <w:r w:rsidRPr="00F45AF5">
              <w:rPr>
                <w:rFonts w:ascii="Arial" w:hAnsi="Arial" w:cs="Arial"/>
                <w:szCs w:val="20"/>
              </w:rPr>
              <w:t xml:space="preserve">  </w:t>
            </w:r>
          </w:p>
        </w:tc>
        <w:tc>
          <w:tcPr>
            <w:tcW w:w="2080" w:type="dxa"/>
            <w:tcMar>
              <w:top w:w="57" w:type="dxa"/>
            </w:tcMar>
          </w:tcPr>
          <w:p w:rsidRPr="00F45AF5" w:rsidR="001D1B5B" w:rsidP="001D1B5B" w:rsidRDefault="00CB4EA7">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41" w:type="dxa"/>
            <w:gridSpan w:val="2"/>
            <w:tcMar>
              <w:top w:w="57" w:type="dxa"/>
            </w:tcMar>
          </w:tcPr>
          <w:p w:rsidRPr="00F45AF5" w:rsidR="001D1B5B" w:rsidP="001D1B5B" w:rsidRDefault="00CB4EA7">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18" w:type="dxa"/>
            <w:gridSpan w:val="2"/>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lastRenderedPageBreak/>
              <w:t>10.</w:t>
            </w:r>
          </w:p>
        </w:tc>
        <w:tc>
          <w:tcPr>
            <w:tcW w:w="4432" w:type="dxa"/>
            <w:tcBorders>
              <w:left w:val="nil"/>
            </w:tcBorders>
            <w:tcMar>
              <w:top w:w="57" w:type="dxa"/>
            </w:tcMar>
          </w:tcPr>
          <w:p w:rsidRPr="00F45AF5" w:rsidR="00A91CE0" w:rsidP="00C2006C" w:rsidRDefault="00A91CE0">
            <w:pPr>
              <w:spacing w:after="0" w:line="240" w:lineRule="auto"/>
              <w:jc w:val="both"/>
              <w:rPr>
                <w:rFonts w:ascii="Arial" w:hAnsi="Arial" w:cs="Arial"/>
                <w:szCs w:val="20"/>
              </w:rPr>
            </w:pPr>
            <w:bookmarkStart w:name="_Toc287275428" w:id="15"/>
            <w:bookmarkStart w:name="_Toc287508771" w:id="16"/>
            <w:r w:rsidRPr="00F45AF5">
              <w:rPr>
                <w:rFonts w:ascii="Arial" w:hAnsi="Arial" w:cs="Arial"/>
                <w:szCs w:val="20"/>
              </w:rPr>
              <w:t>The Board should set the Reporting Entity’s business and strategic objectives and risk parameters, ensure that the necessary financial and human resources are in place for the Reporting Entity to meet those objectives, and review management performance in achieving those objectives and outcomes.  For this purpose, the Board should:</w:t>
            </w:r>
            <w:bookmarkEnd w:id="15"/>
            <w:bookmarkEnd w:id="16"/>
          </w:p>
          <w:p w:rsidRPr="00F45AF5" w:rsidR="00A91CE0" w:rsidP="00C2006C" w:rsidRDefault="00A91CE0">
            <w:pPr>
              <w:spacing w:after="0" w:line="240" w:lineRule="auto"/>
              <w:jc w:val="both"/>
              <w:rPr>
                <w:rFonts w:ascii="Arial" w:hAnsi="Arial" w:cs="Arial"/>
                <w:szCs w:val="20"/>
              </w:rPr>
            </w:pPr>
            <w:bookmarkStart w:name="_Toc287275429" w:id="17"/>
            <w:bookmarkStart w:name="_Toc287508772" w:id="18"/>
            <w:r w:rsidRPr="00F45AF5">
              <w:rPr>
                <w:rFonts w:ascii="Arial" w:hAnsi="Arial" w:cs="Arial"/>
                <w:szCs w:val="20"/>
              </w:rPr>
              <w:t xml:space="preserve">a)  determine the nature and extent of the </w:t>
            </w:r>
          </w:p>
          <w:p w:rsidRPr="00F45AF5" w:rsidR="00A91CE0" w:rsidP="00C2006C" w:rsidRDefault="00A91CE0">
            <w:pPr>
              <w:spacing w:after="0" w:line="240" w:lineRule="auto"/>
              <w:jc w:val="both"/>
              <w:rPr>
                <w:rFonts w:ascii="Arial" w:hAnsi="Arial" w:cs="Arial"/>
                <w:szCs w:val="20"/>
              </w:rPr>
            </w:pPr>
            <w:r w:rsidRPr="00F45AF5">
              <w:rPr>
                <w:rFonts w:ascii="Arial" w:hAnsi="Arial" w:cs="Arial"/>
                <w:szCs w:val="20"/>
              </w:rPr>
              <w:t xml:space="preserve">significant risks it is willing to take in achieving  </w:t>
            </w:r>
          </w:p>
          <w:p w:rsidRPr="00F45AF5" w:rsidR="00A91CE0" w:rsidP="00C2006C" w:rsidRDefault="00A91CE0">
            <w:pPr>
              <w:spacing w:after="0" w:line="240" w:lineRule="auto"/>
              <w:jc w:val="both"/>
              <w:rPr>
                <w:rFonts w:ascii="Arial" w:hAnsi="Arial" w:cs="Arial"/>
                <w:szCs w:val="20"/>
              </w:rPr>
            </w:pPr>
            <w:r w:rsidRPr="00F45AF5">
              <w:rPr>
                <w:rFonts w:ascii="Arial" w:hAnsi="Arial" w:cs="Arial"/>
                <w:szCs w:val="20"/>
              </w:rPr>
              <w:t>the relevant strategic objectives; and</w:t>
            </w:r>
            <w:bookmarkEnd w:id="17"/>
            <w:bookmarkEnd w:id="18"/>
          </w:p>
          <w:p w:rsidRPr="00F45AF5" w:rsidR="00A91CE0" w:rsidP="00C2006C" w:rsidRDefault="00A91CE0">
            <w:pPr>
              <w:tabs>
                <w:tab w:val="num" w:pos="2340"/>
              </w:tabs>
              <w:spacing w:after="0" w:line="240" w:lineRule="auto"/>
              <w:jc w:val="both"/>
              <w:rPr>
                <w:rFonts w:ascii="Arial" w:hAnsi="Arial" w:cs="Arial"/>
                <w:szCs w:val="20"/>
              </w:rPr>
            </w:pPr>
            <w:bookmarkStart w:name="_Toc287275430" w:id="19"/>
            <w:bookmarkStart w:name="_Toc287508773" w:id="20"/>
            <w:r w:rsidRPr="00F45AF5">
              <w:rPr>
                <w:rFonts w:ascii="Arial" w:hAnsi="Arial" w:cs="Arial"/>
                <w:szCs w:val="20"/>
              </w:rPr>
              <w:t xml:space="preserve">b)  set the Reporting Entity’s values and </w:t>
            </w:r>
          </w:p>
          <w:p w:rsidRPr="00F45AF5" w:rsidR="001D1B5B" w:rsidP="00C2006C" w:rsidRDefault="00A91CE0">
            <w:pPr>
              <w:tabs>
                <w:tab w:val="num" w:pos="2340"/>
              </w:tabs>
              <w:spacing w:after="0" w:line="240" w:lineRule="auto"/>
              <w:jc w:val="both"/>
              <w:rPr>
                <w:rFonts w:ascii="Arial" w:hAnsi="Arial" w:cs="Arial"/>
                <w:szCs w:val="20"/>
              </w:rPr>
            </w:pPr>
            <w:r w:rsidRPr="00F45AF5">
              <w:rPr>
                <w:rFonts w:ascii="Arial" w:hAnsi="Arial" w:cs="Arial"/>
                <w:szCs w:val="20"/>
              </w:rPr>
              <w:t>standards and ensure that its obligations to its  stakeholders are clearly understood and met.</w:t>
            </w:r>
            <w:bookmarkEnd w:id="19"/>
            <w:bookmarkEnd w:id="20"/>
          </w:p>
        </w:tc>
        <w:tc>
          <w:tcPr>
            <w:tcW w:w="2080" w:type="dxa"/>
            <w:tcMar>
              <w:top w:w="57" w:type="dxa"/>
            </w:tcMar>
          </w:tcPr>
          <w:p w:rsidRPr="00F45AF5" w:rsidR="001D1B5B" w:rsidP="001D1B5B" w:rsidRDefault="00CB4EA7">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41" w:type="dxa"/>
            <w:gridSpan w:val="2"/>
            <w:tcMar>
              <w:top w:w="57" w:type="dxa"/>
            </w:tcMar>
          </w:tcPr>
          <w:p w:rsidRPr="00F45AF5" w:rsidR="001D1B5B" w:rsidP="001D1B5B" w:rsidRDefault="00CB4EA7">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18" w:type="dxa"/>
            <w:gridSpan w:val="2"/>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11.</w:t>
            </w:r>
          </w:p>
        </w:tc>
        <w:tc>
          <w:tcPr>
            <w:tcW w:w="4432" w:type="dxa"/>
            <w:tcBorders>
              <w:left w:val="nil"/>
            </w:tcBorders>
            <w:tcMar>
              <w:top w:w="57" w:type="dxa"/>
            </w:tcMar>
          </w:tcPr>
          <w:p w:rsidRPr="00F45AF5" w:rsidR="001D1B5B" w:rsidP="00C2006C" w:rsidRDefault="00A91CE0">
            <w:pPr>
              <w:spacing w:after="0" w:line="240" w:lineRule="auto"/>
              <w:jc w:val="both"/>
              <w:rPr>
                <w:rFonts w:ascii="Arial" w:hAnsi="Arial" w:eastAsia="Times New Roman" w:cs="Arial"/>
                <w:szCs w:val="20"/>
                <w:lang w:val="en-US"/>
              </w:rPr>
            </w:pPr>
            <w:bookmarkStart w:name="_Toc287275431" w:id="21"/>
            <w:bookmarkStart w:name="_Toc287508774" w:id="22"/>
            <w:r w:rsidRPr="00F45AF5">
              <w:rPr>
                <w:rFonts w:ascii="Arial" w:hAnsi="Arial" w:cs="Arial"/>
                <w:szCs w:val="20"/>
              </w:rPr>
              <w:t>The Board should meet sufficiently regularly to discharge its duties effectively.  There should be a formal schedule of matters specifically reserved for its decision.</w:t>
            </w:r>
            <w:bookmarkEnd w:id="21"/>
            <w:bookmarkEnd w:id="22"/>
            <w:r w:rsidRPr="00F45AF5">
              <w:rPr>
                <w:rFonts w:ascii="Arial" w:hAnsi="Arial" w:cs="Arial"/>
                <w:szCs w:val="20"/>
              </w:rPr>
              <w:t xml:space="preserve"> </w:t>
            </w:r>
          </w:p>
        </w:tc>
        <w:tc>
          <w:tcPr>
            <w:tcW w:w="2080" w:type="dxa"/>
            <w:tcMar>
              <w:top w:w="57" w:type="dxa"/>
            </w:tcMar>
          </w:tcPr>
          <w:p w:rsidRPr="00F45AF5" w:rsidR="001D1B5B" w:rsidP="001D1B5B" w:rsidRDefault="00CB4EA7">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41" w:type="dxa"/>
            <w:gridSpan w:val="2"/>
            <w:tcMar>
              <w:top w:w="57" w:type="dxa"/>
            </w:tcMar>
          </w:tcPr>
          <w:p w:rsidRPr="00F45AF5" w:rsidR="001D1B5B" w:rsidP="001D1B5B" w:rsidRDefault="00CB4EA7">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12.</w:t>
            </w:r>
          </w:p>
        </w:tc>
        <w:tc>
          <w:tcPr>
            <w:tcW w:w="4441" w:type="dxa"/>
            <w:gridSpan w:val="2"/>
            <w:tcBorders>
              <w:left w:val="nil"/>
            </w:tcBorders>
            <w:tcMar>
              <w:top w:w="57" w:type="dxa"/>
            </w:tcMar>
          </w:tcPr>
          <w:p w:rsidRPr="00F45AF5" w:rsidR="001D1B5B" w:rsidP="00C2006C" w:rsidRDefault="00A91CE0">
            <w:pPr>
              <w:spacing w:after="0" w:line="240" w:lineRule="auto"/>
              <w:jc w:val="both"/>
              <w:rPr>
                <w:rFonts w:ascii="Arial" w:hAnsi="Arial" w:eastAsia="Times New Roman" w:cs="Arial"/>
                <w:szCs w:val="20"/>
                <w:lang w:val="en-US"/>
              </w:rPr>
            </w:pPr>
            <w:bookmarkStart w:name="_Toc287275432" w:id="23"/>
            <w:bookmarkStart w:name="_Toc287508775" w:id="24"/>
            <w:r w:rsidRPr="00F45AF5">
              <w:rPr>
                <w:rFonts w:ascii="Arial" w:hAnsi="Arial" w:cs="Arial"/>
                <w:szCs w:val="20"/>
              </w:rPr>
              <w:t xml:space="preserve">The mandate, composition and working procedures of the Board should be well defined. </w:t>
            </w:r>
            <w:bookmarkEnd w:id="23"/>
            <w:bookmarkEnd w:id="24"/>
          </w:p>
        </w:tc>
        <w:tc>
          <w:tcPr>
            <w:tcW w:w="2090" w:type="dxa"/>
            <w:gridSpan w:val="2"/>
            <w:tcMar>
              <w:top w:w="57" w:type="dxa"/>
            </w:tcMar>
          </w:tcPr>
          <w:p w:rsidRPr="00F45AF5" w:rsidR="001D1B5B" w:rsidP="001D1B5B" w:rsidRDefault="00CB4EA7">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CB4EA7">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13.</w:t>
            </w:r>
          </w:p>
        </w:tc>
        <w:tc>
          <w:tcPr>
            <w:tcW w:w="4441" w:type="dxa"/>
            <w:gridSpan w:val="2"/>
            <w:tcBorders>
              <w:left w:val="nil"/>
            </w:tcBorders>
            <w:tcMar>
              <w:top w:w="57" w:type="dxa"/>
            </w:tcMar>
          </w:tcPr>
          <w:p w:rsidRPr="00F45AF5" w:rsidR="001D1B5B" w:rsidP="00C2006C" w:rsidRDefault="00A91CE0">
            <w:pPr>
              <w:spacing w:after="0" w:line="240" w:lineRule="auto"/>
              <w:jc w:val="both"/>
              <w:rPr>
                <w:rFonts w:ascii="Arial" w:hAnsi="Arial" w:eastAsia="Times New Roman" w:cs="Arial"/>
                <w:szCs w:val="20"/>
                <w:lang w:val="en-US"/>
              </w:rPr>
            </w:pPr>
            <w:bookmarkStart w:name="_Toc287275433" w:id="25"/>
            <w:bookmarkStart w:name="_Toc287508776" w:id="26"/>
            <w:r w:rsidRPr="00F45AF5">
              <w:rPr>
                <w:rFonts w:ascii="Arial" w:hAnsi="Arial" w:cs="Arial"/>
                <w:szCs w:val="20"/>
              </w:rPr>
              <w:t>The annual report of the Reporting Entity should include a statement of how the Board operates and it should also set out the number of meetings of the Board.</w:t>
            </w:r>
            <w:bookmarkEnd w:id="25"/>
            <w:bookmarkEnd w:id="26"/>
          </w:p>
        </w:tc>
        <w:tc>
          <w:tcPr>
            <w:tcW w:w="2090" w:type="dxa"/>
            <w:gridSpan w:val="2"/>
            <w:tcMar>
              <w:top w:w="57" w:type="dxa"/>
            </w:tcMar>
          </w:tcPr>
          <w:p w:rsidRPr="00F45AF5" w:rsidR="001D1B5B" w:rsidP="001D1B5B" w:rsidRDefault="00CB4EA7">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CB4EA7">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1D1B5B">
            <w:pPr>
              <w:spacing w:after="0" w:line="240" w:lineRule="auto"/>
              <w:rPr>
                <w:rFonts w:ascii="Arial" w:hAnsi="Arial" w:eastAsia="Times New Roman" w:cs="Arial"/>
                <w:szCs w:val="20"/>
                <w:lang w:val="en-US"/>
              </w:rPr>
            </w:pPr>
          </w:p>
        </w:tc>
        <w:tc>
          <w:tcPr>
            <w:tcW w:w="4441" w:type="dxa"/>
            <w:gridSpan w:val="2"/>
            <w:tcBorders>
              <w:left w:val="nil"/>
            </w:tcBorders>
            <w:tcMar>
              <w:top w:w="57" w:type="dxa"/>
            </w:tcMar>
          </w:tcPr>
          <w:p w:rsidRPr="00F45AF5" w:rsidR="001D1B5B" w:rsidP="00C2006C" w:rsidRDefault="00A91CE0">
            <w:pPr>
              <w:spacing w:after="0" w:line="240" w:lineRule="auto"/>
              <w:jc w:val="both"/>
              <w:rPr>
                <w:rFonts w:ascii="Arial" w:hAnsi="Arial" w:cs="Arial"/>
                <w:b/>
                <w:color w:val="CC0000"/>
                <w:szCs w:val="20"/>
              </w:rPr>
            </w:pPr>
            <w:r w:rsidRPr="00F45AF5">
              <w:rPr>
                <w:rFonts w:ascii="Arial" w:hAnsi="Arial" w:cs="Arial"/>
                <w:b/>
                <w:color w:val="CC0000"/>
                <w:szCs w:val="20"/>
              </w:rPr>
              <w:t>Principle 2 – Division of responsibilities</w:t>
            </w:r>
          </w:p>
        </w:tc>
        <w:tc>
          <w:tcPr>
            <w:tcW w:w="2090" w:type="dxa"/>
            <w:gridSpan w:val="2"/>
            <w:tcMar>
              <w:top w:w="57" w:type="dxa"/>
            </w:tcMar>
          </w:tcPr>
          <w:p w:rsidRPr="00F45AF5" w:rsidR="001D1B5B" w:rsidP="001D1B5B" w:rsidRDefault="001D1B5B">
            <w:pPr>
              <w:spacing w:before="40" w:after="40" w:line="240" w:lineRule="auto"/>
              <w:rPr>
                <w:rFonts w:ascii="Arial" w:hAnsi="Arial" w:eastAsia="Times New Roman" w:cs="Arial"/>
                <w:szCs w:val="20"/>
                <w:lang w:eastAsia="en-GB"/>
              </w:rPr>
            </w:pPr>
          </w:p>
        </w:tc>
        <w:tc>
          <w:tcPr>
            <w:tcW w:w="2031" w:type="dxa"/>
            <w:tcMar>
              <w:top w:w="57" w:type="dxa"/>
            </w:tcMar>
          </w:tcPr>
          <w:p w:rsidRPr="00F45AF5" w:rsidR="001D1B5B" w:rsidP="001D1B5B" w:rsidRDefault="001D1B5B">
            <w:pPr>
              <w:spacing w:before="40" w:after="40" w:line="240" w:lineRule="auto"/>
              <w:rPr>
                <w:rFonts w:ascii="Arial" w:hAnsi="Arial" w:eastAsia="Times New Roman" w:cs="Arial"/>
                <w:szCs w:val="20"/>
                <w:lang w:eastAsia="en-GB"/>
              </w:rPr>
            </w:pPr>
          </w:p>
        </w:tc>
      </w:tr>
      <w:tr w:rsidRPr="00F45AF5" w:rsidR="001D1B5B" w:rsidTr="00C03C08">
        <w:trPr>
          <w:cantSplit/>
        </w:trPr>
        <w:tc>
          <w:tcPr>
            <w:tcW w:w="709" w:type="dxa"/>
            <w:tcBorders>
              <w:right w:val="nil"/>
            </w:tcBorders>
            <w:tcMar>
              <w:top w:w="57" w:type="dxa"/>
            </w:tcMar>
          </w:tcPr>
          <w:p w:rsidRPr="00F45AF5" w:rsidR="001D1B5B" w:rsidP="001D1B5B" w:rsidRDefault="001D1B5B">
            <w:pPr>
              <w:spacing w:after="0" w:line="240" w:lineRule="auto"/>
              <w:rPr>
                <w:rFonts w:ascii="Arial" w:hAnsi="Arial" w:eastAsia="Times New Roman" w:cs="Arial"/>
                <w:szCs w:val="20"/>
                <w:lang w:val="en-US"/>
              </w:rPr>
            </w:pPr>
          </w:p>
        </w:tc>
        <w:tc>
          <w:tcPr>
            <w:tcW w:w="4441" w:type="dxa"/>
            <w:gridSpan w:val="2"/>
            <w:tcBorders>
              <w:left w:val="nil"/>
            </w:tcBorders>
            <w:tcMar>
              <w:top w:w="57" w:type="dxa"/>
            </w:tcMar>
          </w:tcPr>
          <w:p w:rsidRPr="00F45AF5" w:rsidR="001D1B5B" w:rsidP="00C2006C" w:rsidRDefault="00A91CE0">
            <w:pPr>
              <w:spacing w:after="0" w:line="240" w:lineRule="auto"/>
              <w:jc w:val="both"/>
              <w:rPr>
                <w:rFonts w:ascii="Arial" w:hAnsi="Arial" w:cs="Arial"/>
                <w:b/>
                <w:color w:val="CC0000"/>
                <w:szCs w:val="20"/>
              </w:rPr>
            </w:pPr>
            <w:r w:rsidRPr="00F45AF5">
              <w:rPr>
                <w:rFonts w:ascii="Arial" w:hAnsi="Arial" w:cs="Arial"/>
                <w:b/>
                <w:color w:val="CC0000"/>
                <w:szCs w:val="20"/>
              </w:rPr>
              <w:t>Board and Senior Management</w:t>
            </w:r>
          </w:p>
        </w:tc>
        <w:tc>
          <w:tcPr>
            <w:tcW w:w="2090" w:type="dxa"/>
            <w:gridSpan w:val="2"/>
            <w:tcMar>
              <w:top w:w="57" w:type="dxa"/>
            </w:tcMar>
          </w:tcPr>
          <w:p w:rsidRPr="00F45AF5" w:rsidR="001D1B5B" w:rsidP="001D1B5B" w:rsidRDefault="001D1B5B">
            <w:pPr>
              <w:spacing w:before="40" w:after="40" w:line="240" w:lineRule="auto"/>
              <w:rPr>
                <w:rFonts w:ascii="Arial" w:hAnsi="Arial" w:eastAsia="Times New Roman" w:cs="Arial"/>
                <w:szCs w:val="20"/>
                <w:lang w:eastAsia="en-GB"/>
              </w:rPr>
            </w:pPr>
          </w:p>
        </w:tc>
        <w:tc>
          <w:tcPr>
            <w:tcW w:w="2031" w:type="dxa"/>
            <w:tcMar>
              <w:top w:w="57" w:type="dxa"/>
            </w:tcMar>
          </w:tcPr>
          <w:p w:rsidRPr="00F45AF5" w:rsidR="001D1B5B" w:rsidP="001D1B5B" w:rsidRDefault="001D1B5B">
            <w:pPr>
              <w:spacing w:before="40" w:after="40" w:line="240" w:lineRule="auto"/>
              <w:rPr>
                <w:rFonts w:ascii="Arial" w:hAnsi="Arial" w:eastAsia="Times New Roman" w:cs="Arial"/>
                <w:szCs w:val="20"/>
                <w:lang w:eastAsia="en-GB"/>
              </w:rPr>
            </w:pP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14.</w:t>
            </w:r>
          </w:p>
        </w:tc>
        <w:tc>
          <w:tcPr>
            <w:tcW w:w="4441" w:type="dxa"/>
            <w:gridSpan w:val="2"/>
            <w:tcBorders>
              <w:left w:val="nil"/>
            </w:tcBorders>
            <w:tcMar>
              <w:top w:w="57" w:type="dxa"/>
            </w:tcMar>
          </w:tcPr>
          <w:p w:rsidRPr="00F45AF5" w:rsidR="00A91CE0" w:rsidP="00C2006C" w:rsidRDefault="00A91CE0">
            <w:pPr>
              <w:spacing w:after="0" w:line="240" w:lineRule="auto"/>
              <w:jc w:val="both"/>
              <w:rPr>
                <w:rFonts w:ascii="Arial" w:hAnsi="Arial" w:cs="Arial"/>
                <w:szCs w:val="20"/>
              </w:rPr>
            </w:pPr>
            <w:bookmarkStart w:name="_Toc287275434" w:id="27"/>
            <w:bookmarkStart w:name="_Toc287508777" w:id="28"/>
            <w:r w:rsidRPr="00F45AF5">
              <w:rPr>
                <w:rFonts w:ascii="Arial" w:hAnsi="Arial" w:cs="Arial"/>
                <w:szCs w:val="20"/>
              </w:rPr>
              <w:t>The division of responsibilities between the Board and the Senior Management of the Reporting Entity should be clearly established, set out in writing, and agreed to by the Board.  In assigning duties, the Board should ensure that no one individual has unfettered powers in making decisions.  It should also ensure that there is a clear segregation of the functions of:</w:t>
            </w:r>
            <w:bookmarkEnd w:id="27"/>
            <w:bookmarkEnd w:id="28"/>
          </w:p>
          <w:p w:rsidRPr="00F45AF5" w:rsidR="00A91CE0" w:rsidP="00C2006C" w:rsidRDefault="00A91CE0">
            <w:pPr>
              <w:spacing w:after="0" w:line="240" w:lineRule="auto"/>
              <w:jc w:val="both"/>
              <w:rPr>
                <w:rFonts w:ascii="Arial" w:hAnsi="Arial" w:cs="Arial"/>
                <w:szCs w:val="20"/>
              </w:rPr>
            </w:pPr>
            <w:bookmarkStart w:name="_Toc287275435" w:id="29"/>
            <w:bookmarkStart w:name="_Toc287508778" w:id="30"/>
            <w:r w:rsidRPr="00F45AF5">
              <w:rPr>
                <w:rFonts w:ascii="Arial" w:hAnsi="Arial" w:cs="Arial"/>
                <w:szCs w:val="20"/>
              </w:rPr>
              <w:t xml:space="preserve">a)  the oversight of the management by the </w:t>
            </w:r>
          </w:p>
          <w:p w:rsidRPr="00F45AF5" w:rsidR="00A91CE0" w:rsidP="00C2006C" w:rsidRDefault="00A91CE0">
            <w:pPr>
              <w:spacing w:after="0" w:line="240" w:lineRule="auto"/>
              <w:jc w:val="both"/>
              <w:rPr>
                <w:rFonts w:ascii="Arial" w:hAnsi="Arial" w:cs="Arial"/>
                <w:szCs w:val="20"/>
              </w:rPr>
            </w:pPr>
            <w:r w:rsidRPr="00F45AF5">
              <w:rPr>
                <w:rFonts w:ascii="Arial" w:hAnsi="Arial" w:cs="Arial"/>
                <w:szCs w:val="20"/>
              </w:rPr>
              <w:t>Board; and</w:t>
            </w:r>
            <w:bookmarkEnd w:id="29"/>
            <w:bookmarkEnd w:id="30"/>
          </w:p>
          <w:p w:rsidRPr="00F45AF5" w:rsidR="00A91CE0" w:rsidP="00C2006C" w:rsidRDefault="00A91CE0">
            <w:pPr>
              <w:spacing w:after="0" w:line="240" w:lineRule="auto"/>
              <w:jc w:val="both"/>
              <w:rPr>
                <w:rFonts w:ascii="Arial" w:hAnsi="Arial" w:cs="Arial"/>
                <w:szCs w:val="20"/>
              </w:rPr>
            </w:pPr>
            <w:bookmarkStart w:name="_Toc287275436" w:id="31"/>
            <w:bookmarkStart w:name="_Toc287508779" w:id="32"/>
            <w:r w:rsidRPr="00F45AF5">
              <w:rPr>
                <w:rFonts w:ascii="Arial" w:hAnsi="Arial" w:cs="Arial"/>
                <w:szCs w:val="20"/>
              </w:rPr>
              <w:t xml:space="preserve">b)  the management of the Reporting Entity’s </w:t>
            </w:r>
          </w:p>
          <w:p w:rsidRPr="00F45AF5" w:rsidR="00A91CE0" w:rsidP="00C2006C" w:rsidRDefault="00A91CE0">
            <w:pPr>
              <w:spacing w:after="0" w:line="240" w:lineRule="auto"/>
              <w:jc w:val="both"/>
              <w:rPr>
                <w:rFonts w:ascii="Arial" w:hAnsi="Arial" w:cs="Arial"/>
                <w:szCs w:val="20"/>
              </w:rPr>
            </w:pPr>
            <w:r w:rsidRPr="00F45AF5">
              <w:rPr>
                <w:rFonts w:ascii="Arial" w:hAnsi="Arial" w:cs="Arial"/>
                <w:szCs w:val="20"/>
              </w:rPr>
              <w:t xml:space="preserve">business by the Senior Management in </w:t>
            </w:r>
          </w:p>
          <w:p w:rsidRPr="00F45AF5" w:rsidR="00A91CE0" w:rsidP="00C2006C" w:rsidRDefault="00A91CE0">
            <w:pPr>
              <w:spacing w:after="0" w:line="240" w:lineRule="auto"/>
              <w:jc w:val="both"/>
              <w:rPr>
                <w:rFonts w:ascii="Arial" w:hAnsi="Arial" w:cs="Arial"/>
                <w:szCs w:val="20"/>
              </w:rPr>
            </w:pPr>
            <w:r w:rsidRPr="00F45AF5">
              <w:rPr>
                <w:rFonts w:ascii="Arial" w:hAnsi="Arial" w:cs="Arial"/>
                <w:szCs w:val="20"/>
              </w:rPr>
              <w:t xml:space="preserve">accordance with the strategic aims and risk </w:t>
            </w:r>
          </w:p>
          <w:p w:rsidRPr="00F45AF5" w:rsidR="001D1B5B" w:rsidP="00C2006C" w:rsidRDefault="00A91CE0">
            <w:pPr>
              <w:spacing w:after="0" w:line="240" w:lineRule="auto"/>
              <w:jc w:val="both"/>
              <w:rPr>
                <w:rFonts w:ascii="Arial" w:hAnsi="Arial" w:eastAsia="Times New Roman" w:cs="Arial"/>
                <w:szCs w:val="20"/>
                <w:lang w:val="en-US"/>
              </w:rPr>
            </w:pPr>
            <w:r w:rsidRPr="00F45AF5">
              <w:rPr>
                <w:rFonts w:ascii="Arial" w:hAnsi="Arial" w:cs="Arial"/>
                <w:szCs w:val="20"/>
              </w:rPr>
              <w:t>parameters set by the Board.</w:t>
            </w:r>
            <w:bookmarkEnd w:id="31"/>
            <w:bookmarkEnd w:id="32"/>
            <w:r w:rsidRPr="00F45AF5">
              <w:rPr>
                <w:rFonts w:ascii="Arial" w:hAnsi="Arial" w:cs="Arial"/>
                <w:szCs w:val="20"/>
              </w:rPr>
              <w:t xml:space="preserve"> </w:t>
            </w:r>
          </w:p>
        </w:tc>
        <w:tc>
          <w:tcPr>
            <w:tcW w:w="2090" w:type="dxa"/>
            <w:gridSpan w:val="2"/>
            <w:tcMar>
              <w:top w:w="57" w:type="dxa"/>
            </w:tcMar>
          </w:tcPr>
          <w:p w:rsidRPr="00F45AF5" w:rsidR="001D1B5B" w:rsidP="001D1B5B" w:rsidRDefault="00CB4EA7">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CB4EA7">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lastRenderedPageBreak/>
              <w:t>15.</w:t>
            </w:r>
          </w:p>
        </w:tc>
        <w:tc>
          <w:tcPr>
            <w:tcW w:w="4441" w:type="dxa"/>
            <w:gridSpan w:val="2"/>
            <w:tcBorders>
              <w:left w:val="nil"/>
            </w:tcBorders>
            <w:tcMar>
              <w:top w:w="57" w:type="dxa"/>
            </w:tcMar>
          </w:tcPr>
          <w:p w:rsidRPr="00F45AF5" w:rsidR="001D1B5B" w:rsidP="0092364F" w:rsidRDefault="00A91CE0">
            <w:pPr>
              <w:spacing w:after="0" w:line="240" w:lineRule="auto"/>
              <w:jc w:val="both"/>
              <w:rPr>
                <w:rFonts w:ascii="Arial" w:hAnsi="Arial" w:eastAsia="Times New Roman" w:cs="Arial"/>
                <w:szCs w:val="20"/>
                <w:lang w:val="en-US"/>
              </w:rPr>
            </w:pPr>
            <w:bookmarkStart w:name="_Toc287275437" w:id="33"/>
            <w:bookmarkStart w:name="_Toc287508780" w:id="34"/>
            <w:r w:rsidRPr="00F45AF5">
              <w:rPr>
                <w:rFonts w:ascii="Arial" w:hAnsi="Arial" w:cs="Arial"/>
                <w:szCs w:val="20"/>
              </w:rPr>
              <w:t>Board members may include individuals undertaking Senior Managemen</w:t>
            </w:r>
            <w:r w:rsidR="0092364F">
              <w:rPr>
                <w:rFonts w:ascii="Arial" w:hAnsi="Arial" w:cs="Arial"/>
                <w:szCs w:val="20"/>
              </w:rPr>
              <w:t>t functions.  For example, the C</w:t>
            </w:r>
            <w:r w:rsidRPr="00F45AF5">
              <w:rPr>
                <w:rFonts w:ascii="Arial" w:hAnsi="Arial" w:cs="Arial"/>
                <w:szCs w:val="20"/>
              </w:rPr>
              <w:t xml:space="preserve">hief </w:t>
            </w:r>
            <w:r w:rsidR="0092364F">
              <w:rPr>
                <w:rFonts w:ascii="Arial" w:hAnsi="Arial" w:cs="Arial"/>
                <w:szCs w:val="20"/>
              </w:rPr>
              <w:t>E</w:t>
            </w:r>
            <w:r w:rsidRPr="00F45AF5">
              <w:rPr>
                <w:rFonts w:ascii="Arial" w:hAnsi="Arial" w:cs="Arial"/>
                <w:szCs w:val="20"/>
              </w:rPr>
              <w:t>xecutive of a Reporting Entity may also be a Board member.  Where this is the case, the Board should ensure that when assessing the performance of the Senior Management, the independence and objectivity of that process is achieved through appropriate mechanisms, such as the assignment of such a task to a non-executive Director of the Board or a committee comprising a majority of non-executive Directors.</w:t>
            </w:r>
            <w:bookmarkEnd w:id="33"/>
            <w:bookmarkEnd w:id="34"/>
            <w:r w:rsidRPr="00F45AF5">
              <w:rPr>
                <w:rFonts w:ascii="Arial" w:hAnsi="Arial" w:cs="Arial"/>
                <w:szCs w:val="20"/>
              </w:rPr>
              <w:t xml:space="preserve"> </w:t>
            </w:r>
          </w:p>
        </w:tc>
        <w:tc>
          <w:tcPr>
            <w:tcW w:w="2090" w:type="dxa"/>
            <w:gridSpan w:val="2"/>
            <w:tcMar>
              <w:top w:w="57" w:type="dxa"/>
            </w:tcMar>
          </w:tcPr>
          <w:p w:rsidRPr="00F45AF5" w:rsidR="001D1B5B" w:rsidP="001D1B5B" w:rsidRDefault="00CB4EA7">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CB4EA7">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1D1B5B">
            <w:pPr>
              <w:spacing w:after="0" w:line="240" w:lineRule="auto"/>
              <w:rPr>
                <w:rFonts w:ascii="Arial" w:hAnsi="Arial" w:eastAsia="Times New Roman" w:cs="Arial"/>
                <w:szCs w:val="20"/>
                <w:lang w:val="en-US"/>
              </w:rPr>
            </w:pPr>
          </w:p>
        </w:tc>
        <w:tc>
          <w:tcPr>
            <w:tcW w:w="4441" w:type="dxa"/>
            <w:gridSpan w:val="2"/>
            <w:tcBorders>
              <w:left w:val="nil"/>
            </w:tcBorders>
            <w:tcMar>
              <w:top w:w="57" w:type="dxa"/>
            </w:tcMar>
          </w:tcPr>
          <w:p w:rsidRPr="00F45AF5" w:rsidR="001D1B5B" w:rsidP="0092364F" w:rsidRDefault="0092364F">
            <w:pPr>
              <w:spacing w:after="0" w:line="240" w:lineRule="auto"/>
              <w:jc w:val="both"/>
              <w:rPr>
                <w:rFonts w:ascii="Arial" w:hAnsi="Arial" w:eastAsia="Times New Roman" w:cs="Arial"/>
                <w:szCs w:val="20"/>
                <w:lang w:val="en-US"/>
              </w:rPr>
            </w:pPr>
            <w:r>
              <w:rPr>
                <w:rFonts w:ascii="Arial" w:hAnsi="Arial" w:cs="Arial"/>
                <w:b/>
                <w:color w:val="CC0000"/>
                <w:szCs w:val="20"/>
              </w:rPr>
              <w:t>Chairman and C</w:t>
            </w:r>
            <w:r w:rsidRPr="00F45AF5" w:rsidR="00A91CE0">
              <w:rPr>
                <w:rFonts w:ascii="Arial" w:hAnsi="Arial" w:cs="Arial"/>
                <w:b/>
                <w:color w:val="CC0000"/>
                <w:szCs w:val="20"/>
              </w:rPr>
              <w:t xml:space="preserve">hief </w:t>
            </w:r>
            <w:r>
              <w:rPr>
                <w:rFonts w:ascii="Arial" w:hAnsi="Arial" w:cs="Arial"/>
                <w:b/>
                <w:color w:val="CC0000"/>
                <w:szCs w:val="20"/>
              </w:rPr>
              <w:t>E</w:t>
            </w:r>
            <w:r w:rsidRPr="00F45AF5" w:rsidR="00A91CE0">
              <w:rPr>
                <w:rFonts w:ascii="Arial" w:hAnsi="Arial" w:cs="Arial"/>
                <w:b/>
                <w:color w:val="CC0000"/>
                <w:szCs w:val="20"/>
              </w:rPr>
              <w:t>xecutive</w:t>
            </w:r>
          </w:p>
        </w:tc>
        <w:tc>
          <w:tcPr>
            <w:tcW w:w="2090" w:type="dxa"/>
            <w:gridSpan w:val="2"/>
            <w:tcMar>
              <w:top w:w="57" w:type="dxa"/>
            </w:tcMar>
          </w:tcPr>
          <w:p w:rsidRPr="00F45AF5" w:rsidR="001D1B5B" w:rsidP="001D1B5B" w:rsidRDefault="001D1B5B">
            <w:pPr>
              <w:spacing w:before="40" w:after="40" w:line="240" w:lineRule="auto"/>
              <w:rPr>
                <w:rFonts w:ascii="Arial" w:hAnsi="Arial" w:eastAsia="Times New Roman" w:cs="Arial"/>
                <w:szCs w:val="20"/>
                <w:lang w:eastAsia="en-GB"/>
              </w:rPr>
            </w:pPr>
          </w:p>
        </w:tc>
        <w:tc>
          <w:tcPr>
            <w:tcW w:w="2031" w:type="dxa"/>
            <w:tcMar>
              <w:top w:w="57" w:type="dxa"/>
            </w:tcMar>
          </w:tcPr>
          <w:p w:rsidRPr="00F45AF5" w:rsidR="001D1B5B" w:rsidP="001D1B5B" w:rsidRDefault="001D1B5B">
            <w:pPr>
              <w:spacing w:before="40" w:after="40" w:line="240" w:lineRule="auto"/>
              <w:rPr>
                <w:rFonts w:ascii="Arial" w:hAnsi="Arial" w:eastAsia="Times New Roman" w:cs="Arial"/>
                <w:szCs w:val="20"/>
                <w:lang w:eastAsia="en-GB"/>
              </w:rPr>
            </w:pP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16.</w:t>
            </w:r>
          </w:p>
        </w:tc>
        <w:tc>
          <w:tcPr>
            <w:tcW w:w="4441" w:type="dxa"/>
            <w:gridSpan w:val="2"/>
            <w:tcBorders>
              <w:left w:val="nil"/>
            </w:tcBorders>
            <w:tcMar>
              <w:top w:w="57" w:type="dxa"/>
            </w:tcMar>
          </w:tcPr>
          <w:p w:rsidRPr="00F45AF5" w:rsidR="001D1B5B" w:rsidP="0092364F" w:rsidRDefault="00A91CE0">
            <w:pPr>
              <w:spacing w:after="0" w:line="240" w:lineRule="auto"/>
              <w:jc w:val="both"/>
              <w:rPr>
                <w:rFonts w:ascii="Arial" w:hAnsi="Arial" w:eastAsia="Times New Roman" w:cs="Arial"/>
                <w:szCs w:val="20"/>
                <w:lang w:val="en-US"/>
              </w:rPr>
            </w:pPr>
            <w:bookmarkStart w:name="_Toc287275438" w:id="35"/>
            <w:bookmarkStart w:name="_Toc287508781" w:id="36"/>
            <w:r w:rsidRPr="00F45AF5">
              <w:rPr>
                <w:rFonts w:ascii="Arial" w:hAnsi="Arial" w:cs="Arial"/>
                <w:szCs w:val="20"/>
              </w:rPr>
              <w:t xml:space="preserve">In order to ensure that the Board’s function of providing effective oversight of the management of the Reporting Entity is not compromised, it is </w:t>
            </w:r>
            <w:r w:rsidR="0092364F">
              <w:rPr>
                <w:rFonts w:ascii="Arial" w:hAnsi="Arial" w:cs="Arial"/>
                <w:szCs w:val="20"/>
              </w:rPr>
              <w:t>important that the role of the C</w:t>
            </w:r>
            <w:r w:rsidRPr="00F45AF5">
              <w:rPr>
                <w:rFonts w:ascii="Arial" w:hAnsi="Arial" w:cs="Arial"/>
                <w:szCs w:val="20"/>
              </w:rPr>
              <w:t xml:space="preserve">hairman of the Board and the role of the </w:t>
            </w:r>
            <w:r w:rsidR="0092364F">
              <w:rPr>
                <w:rFonts w:ascii="Arial" w:hAnsi="Arial" w:cs="Arial"/>
                <w:szCs w:val="20"/>
              </w:rPr>
              <w:t>C</w:t>
            </w:r>
            <w:r w:rsidRPr="00F45AF5">
              <w:rPr>
                <w:rFonts w:ascii="Arial" w:hAnsi="Arial" w:cs="Arial"/>
                <w:szCs w:val="20"/>
              </w:rPr>
              <w:t xml:space="preserve">hief </w:t>
            </w:r>
            <w:r w:rsidR="0092364F">
              <w:rPr>
                <w:rFonts w:ascii="Arial" w:hAnsi="Arial" w:cs="Arial"/>
                <w:szCs w:val="20"/>
              </w:rPr>
              <w:t>E</w:t>
            </w:r>
            <w:r w:rsidRPr="00F45AF5">
              <w:rPr>
                <w:rFonts w:ascii="Arial" w:hAnsi="Arial" w:cs="Arial"/>
                <w:szCs w:val="20"/>
              </w:rPr>
              <w:t>xecutive of the Reporting Entity should not be held by the same individual.</w:t>
            </w:r>
            <w:bookmarkEnd w:id="35"/>
            <w:bookmarkEnd w:id="36"/>
            <w:r w:rsidRPr="00F45AF5">
              <w:rPr>
                <w:rFonts w:ascii="Arial" w:hAnsi="Arial" w:cs="Arial"/>
                <w:szCs w:val="20"/>
              </w:rPr>
              <w:t xml:space="preserve">  </w:t>
            </w:r>
          </w:p>
        </w:tc>
        <w:tc>
          <w:tcPr>
            <w:tcW w:w="2090" w:type="dxa"/>
            <w:gridSpan w:val="2"/>
            <w:tcMar>
              <w:top w:w="57" w:type="dxa"/>
            </w:tcMar>
          </w:tcPr>
          <w:p w:rsidRPr="00F45AF5" w:rsidR="001D1B5B" w:rsidP="001D1B5B" w:rsidRDefault="00CB4EA7">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CB4EA7">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17.</w:t>
            </w:r>
          </w:p>
        </w:tc>
        <w:tc>
          <w:tcPr>
            <w:tcW w:w="4441" w:type="dxa"/>
            <w:gridSpan w:val="2"/>
            <w:tcBorders>
              <w:left w:val="nil"/>
            </w:tcBorders>
            <w:tcMar>
              <w:top w:w="57" w:type="dxa"/>
            </w:tcMar>
          </w:tcPr>
          <w:p w:rsidRPr="00F45AF5" w:rsidR="001D1B5B" w:rsidP="0092364F" w:rsidRDefault="00A91CE0">
            <w:pPr>
              <w:spacing w:after="0" w:line="240" w:lineRule="auto"/>
              <w:jc w:val="both"/>
              <w:rPr>
                <w:rFonts w:ascii="Arial" w:hAnsi="Arial" w:eastAsia="Times New Roman" w:cs="Arial"/>
                <w:szCs w:val="20"/>
                <w:lang w:val="en-US"/>
              </w:rPr>
            </w:pPr>
            <w:bookmarkStart w:name="_Toc287275439" w:id="37"/>
            <w:bookmarkStart w:name="_Toc287508782" w:id="38"/>
            <w:r w:rsidRPr="00F45AF5">
              <w:rPr>
                <w:rFonts w:ascii="Arial" w:hAnsi="Arial" w:cs="Arial"/>
                <w:szCs w:val="20"/>
              </w:rPr>
              <w:t xml:space="preserve">However, if the Board decides that the </w:t>
            </w:r>
            <w:r w:rsidR="0092364F">
              <w:rPr>
                <w:rFonts w:ascii="Arial" w:hAnsi="Arial" w:cs="Arial"/>
                <w:szCs w:val="20"/>
              </w:rPr>
              <w:t>Chief E</w:t>
            </w:r>
            <w:r w:rsidRPr="00F45AF5">
              <w:rPr>
                <w:rFonts w:ascii="Arial" w:hAnsi="Arial" w:cs="Arial"/>
                <w:szCs w:val="20"/>
              </w:rPr>
              <w:t xml:space="preserve">xecutive should also hold the position of the </w:t>
            </w:r>
            <w:r w:rsidR="0092364F">
              <w:rPr>
                <w:rFonts w:ascii="Arial" w:hAnsi="Arial" w:cs="Arial"/>
                <w:szCs w:val="20"/>
              </w:rPr>
              <w:t>C</w:t>
            </w:r>
            <w:r w:rsidRPr="00F45AF5">
              <w:rPr>
                <w:rFonts w:ascii="Arial" w:hAnsi="Arial" w:cs="Arial"/>
                <w:szCs w:val="20"/>
              </w:rPr>
              <w:t xml:space="preserve">hairman of the Board, there should be effective measures to ensure that the Board is able to properly discharge its function of providing effective oversight of the management of the business of the Reporting Entity by its Senior Management.  For example, the performance assessment of the </w:t>
            </w:r>
            <w:r w:rsidR="0092364F">
              <w:rPr>
                <w:rFonts w:ascii="Arial" w:hAnsi="Arial" w:cs="Arial"/>
                <w:szCs w:val="20"/>
              </w:rPr>
              <w:t>C</w:t>
            </w:r>
            <w:r w:rsidRPr="00F45AF5">
              <w:rPr>
                <w:rFonts w:ascii="Arial" w:hAnsi="Arial" w:cs="Arial"/>
                <w:szCs w:val="20"/>
              </w:rPr>
              <w:t xml:space="preserve">hief </w:t>
            </w:r>
            <w:r w:rsidR="0092364F">
              <w:rPr>
                <w:rFonts w:ascii="Arial" w:hAnsi="Arial" w:cs="Arial"/>
                <w:szCs w:val="20"/>
              </w:rPr>
              <w:t>E</w:t>
            </w:r>
            <w:r w:rsidRPr="00F45AF5">
              <w:rPr>
                <w:rFonts w:ascii="Arial" w:hAnsi="Arial" w:cs="Arial"/>
                <w:szCs w:val="20"/>
              </w:rPr>
              <w:t>xecutive and other members of the Senior Management should be undertaken by a non-executive Director of the Board (such as the senior independent Director) or a committee comprising a majority of non-executive Directors who report to the Board directly on their assessment, and also, prior approval by sharehol</w:t>
            </w:r>
            <w:r w:rsidR="0092364F">
              <w:rPr>
                <w:rFonts w:ascii="Arial" w:hAnsi="Arial" w:cs="Arial"/>
                <w:szCs w:val="20"/>
              </w:rPr>
              <w:t>ders of the appointment of the C</w:t>
            </w:r>
            <w:r w:rsidRPr="00F45AF5">
              <w:rPr>
                <w:rFonts w:ascii="Arial" w:hAnsi="Arial" w:cs="Arial"/>
                <w:szCs w:val="20"/>
              </w:rPr>
              <w:t xml:space="preserve">hief </w:t>
            </w:r>
            <w:r w:rsidR="0092364F">
              <w:rPr>
                <w:rFonts w:ascii="Arial" w:hAnsi="Arial" w:cs="Arial"/>
                <w:szCs w:val="20"/>
              </w:rPr>
              <w:t>E</w:t>
            </w:r>
            <w:r w:rsidRPr="00F45AF5">
              <w:rPr>
                <w:rFonts w:ascii="Arial" w:hAnsi="Arial" w:cs="Arial"/>
                <w:szCs w:val="20"/>
              </w:rPr>
              <w:t>xecutive as chairman of the Board.</w:t>
            </w:r>
            <w:bookmarkEnd w:id="37"/>
            <w:bookmarkEnd w:id="38"/>
            <w:r w:rsidRPr="00F45AF5">
              <w:rPr>
                <w:rFonts w:ascii="Arial" w:hAnsi="Arial" w:cs="Arial"/>
                <w:szCs w:val="20"/>
              </w:rPr>
              <w:t xml:space="preserve">  </w:t>
            </w:r>
          </w:p>
        </w:tc>
        <w:tc>
          <w:tcPr>
            <w:tcW w:w="2090" w:type="dxa"/>
            <w:gridSpan w:val="2"/>
            <w:tcMar>
              <w:top w:w="57" w:type="dxa"/>
            </w:tcMar>
          </w:tcPr>
          <w:p w:rsidRPr="00F45AF5" w:rsidR="001D1B5B" w:rsidP="001D1B5B" w:rsidRDefault="00CB4EA7">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CB4EA7">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18.</w:t>
            </w:r>
          </w:p>
        </w:tc>
        <w:tc>
          <w:tcPr>
            <w:tcW w:w="4441" w:type="dxa"/>
            <w:gridSpan w:val="2"/>
            <w:tcBorders>
              <w:left w:val="nil"/>
            </w:tcBorders>
            <w:tcMar>
              <w:top w:w="57" w:type="dxa"/>
            </w:tcMar>
          </w:tcPr>
          <w:p w:rsidRPr="00F45AF5" w:rsidR="001D1B5B" w:rsidP="0092364F" w:rsidRDefault="00A91CE0">
            <w:pPr>
              <w:spacing w:after="0" w:line="240" w:lineRule="auto"/>
              <w:jc w:val="both"/>
              <w:rPr>
                <w:rFonts w:ascii="Arial" w:hAnsi="Arial" w:eastAsia="Times New Roman" w:cs="Arial"/>
                <w:szCs w:val="20"/>
                <w:lang w:val="en-US"/>
              </w:rPr>
            </w:pPr>
            <w:bookmarkStart w:name="_Toc287275440" w:id="39"/>
            <w:bookmarkStart w:name="_Toc287508783" w:id="40"/>
            <w:r w:rsidRPr="00F45AF5">
              <w:rPr>
                <w:rFonts w:ascii="Arial" w:hAnsi="Arial" w:cs="Arial"/>
                <w:szCs w:val="20"/>
              </w:rPr>
              <w:t xml:space="preserve">Except where the positions of the </w:t>
            </w:r>
            <w:r w:rsidR="0092364F">
              <w:rPr>
                <w:rFonts w:ascii="Arial" w:hAnsi="Arial" w:cs="Arial"/>
                <w:szCs w:val="20"/>
              </w:rPr>
              <w:t>C</w:t>
            </w:r>
            <w:r w:rsidRPr="00F45AF5">
              <w:rPr>
                <w:rFonts w:ascii="Arial" w:hAnsi="Arial" w:cs="Arial"/>
                <w:szCs w:val="20"/>
              </w:rPr>
              <w:t xml:space="preserve">hairman of the </w:t>
            </w:r>
            <w:r w:rsidR="0092364F">
              <w:rPr>
                <w:rFonts w:ascii="Arial" w:hAnsi="Arial" w:cs="Arial"/>
                <w:szCs w:val="20"/>
              </w:rPr>
              <w:t>B</w:t>
            </w:r>
            <w:r w:rsidRPr="00F45AF5">
              <w:rPr>
                <w:rFonts w:ascii="Arial" w:hAnsi="Arial" w:cs="Arial"/>
                <w:szCs w:val="20"/>
              </w:rPr>
              <w:t xml:space="preserve">oard and the </w:t>
            </w:r>
            <w:r w:rsidR="0092364F">
              <w:rPr>
                <w:rFonts w:ascii="Arial" w:hAnsi="Arial" w:cs="Arial"/>
                <w:szCs w:val="20"/>
              </w:rPr>
              <w:t>C</w:t>
            </w:r>
            <w:r w:rsidRPr="00F45AF5">
              <w:rPr>
                <w:rFonts w:ascii="Arial" w:hAnsi="Arial" w:cs="Arial"/>
                <w:szCs w:val="20"/>
              </w:rPr>
              <w:t xml:space="preserve">hief </w:t>
            </w:r>
            <w:r w:rsidR="0092364F">
              <w:rPr>
                <w:rFonts w:ascii="Arial" w:hAnsi="Arial" w:cs="Arial"/>
                <w:szCs w:val="20"/>
              </w:rPr>
              <w:t>E</w:t>
            </w:r>
            <w:r w:rsidRPr="00F45AF5">
              <w:rPr>
                <w:rFonts w:ascii="Arial" w:hAnsi="Arial" w:cs="Arial"/>
                <w:szCs w:val="20"/>
              </w:rPr>
              <w:t xml:space="preserve">xecutive are held by the same person, the division of responsibilities between the </w:t>
            </w:r>
            <w:r w:rsidR="0092364F">
              <w:rPr>
                <w:rFonts w:ascii="Arial" w:hAnsi="Arial" w:cs="Arial"/>
                <w:szCs w:val="20"/>
              </w:rPr>
              <w:t>C</w:t>
            </w:r>
            <w:r w:rsidRPr="00F45AF5">
              <w:rPr>
                <w:rFonts w:ascii="Arial" w:hAnsi="Arial" w:cs="Arial"/>
                <w:szCs w:val="20"/>
              </w:rPr>
              <w:t xml:space="preserve">hairman and </w:t>
            </w:r>
            <w:r w:rsidR="0092364F">
              <w:rPr>
                <w:rFonts w:ascii="Arial" w:hAnsi="Arial" w:cs="Arial"/>
                <w:szCs w:val="20"/>
              </w:rPr>
              <w:t>C</w:t>
            </w:r>
            <w:r w:rsidRPr="00F45AF5">
              <w:rPr>
                <w:rFonts w:ascii="Arial" w:hAnsi="Arial" w:cs="Arial"/>
                <w:szCs w:val="20"/>
              </w:rPr>
              <w:t xml:space="preserve">hief </w:t>
            </w:r>
            <w:r w:rsidR="0092364F">
              <w:rPr>
                <w:rFonts w:ascii="Arial" w:hAnsi="Arial" w:cs="Arial"/>
                <w:szCs w:val="20"/>
              </w:rPr>
              <w:t>E</w:t>
            </w:r>
            <w:r w:rsidRPr="00F45AF5">
              <w:rPr>
                <w:rFonts w:ascii="Arial" w:hAnsi="Arial" w:cs="Arial"/>
                <w:szCs w:val="20"/>
              </w:rPr>
              <w:t>xecutive should be clearly established, set out in writing and agreed to by the Board.</w:t>
            </w:r>
            <w:bookmarkEnd w:id="39"/>
            <w:bookmarkEnd w:id="40"/>
            <w:r w:rsidRPr="00F45AF5">
              <w:rPr>
                <w:rFonts w:ascii="Arial" w:hAnsi="Arial" w:cs="Arial"/>
                <w:szCs w:val="20"/>
              </w:rPr>
              <w:t xml:space="preserve">  </w:t>
            </w:r>
          </w:p>
        </w:tc>
        <w:tc>
          <w:tcPr>
            <w:tcW w:w="2090" w:type="dxa"/>
            <w:gridSpan w:val="2"/>
            <w:tcMar>
              <w:top w:w="57" w:type="dxa"/>
            </w:tcMar>
          </w:tcPr>
          <w:p w:rsidRPr="00F45AF5" w:rsidR="001D1B5B" w:rsidP="001D1B5B" w:rsidRDefault="00CB4EA7">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CB4EA7">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lastRenderedPageBreak/>
              <w:t>19.</w:t>
            </w:r>
          </w:p>
        </w:tc>
        <w:tc>
          <w:tcPr>
            <w:tcW w:w="4441" w:type="dxa"/>
            <w:gridSpan w:val="2"/>
            <w:tcBorders>
              <w:left w:val="nil"/>
            </w:tcBorders>
            <w:tcMar>
              <w:top w:w="57" w:type="dxa"/>
            </w:tcMar>
          </w:tcPr>
          <w:p w:rsidRPr="00F45AF5" w:rsidR="001D1B5B" w:rsidP="00C2006C" w:rsidRDefault="0092364F">
            <w:pPr>
              <w:spacing w:after="0" w:line="240" w:lineRule="auto"/>
              <w:jc w:val="both"/>
              <w:rPr>
                <w:rFonts w:ascii="Arial" w:hAnsi="Arial" w:eastAsia="Times New Roman" w:cs="Arial"/>
                <w:szCs w:val="20"/>
                <w:lang w:val="en-US"/>
              </w:rPr>
            </w:pPr>
            <w:bookmarkStart w:name="_Toc287275441" w:id="41"/>
            <w:bookmarkStart w:name="_Toc287508784" w:id="42"/>
            <w:r>
              <w:rPr>
                <w:rFonts w:ascii="Arial" w:hAnsi="Arial" w:cs="Arial"/>
                <w:szCs w:val="20"/>
              </w:rPr>
              <w:t>The C</w:t>
            </w:r>
            <w:r w:rsidRPr="00F45AF5" w:rsidR="00A91CE0">
              <w:rPr>
                <w:rFonts w:ascii="Arial" w:hAnsi="Arial" w:cs="Arial"/>
                <w:szCs w:val="20"/>
              </w:rPr>
              <w:t>hairman should be responsible for providing leadership of the Board, ensuring its effectiveness in all aspects of the Board’s role and setting its agenda.</w:t>
            </w:r>
            <w:bookmarkEnd w:id="41"/>
            <w:bookmarkEnd w:id="42"/>
            <w:r w:rsidRPr="00F45AF5" w:rsidR="00A91CE0">
              <w:rPr>
                <w:rFonts w:ascii="Arial" w:hAnsi="Arial" w:cs="Arial"/>
                <w:szCs w:val="20"/>
              </w:rPr>
              <w:t xml:space="preserve"> </w:t>
            </w:r>
          </w:p>
        </w:tc>
        <w:tc>
          <w:tcPr>
            <w:tcW w:w="2090" w:type="dxa"/>
            <w:gridSpan w:val="2"/>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20.</w:t>
            </w:r>
          </w:p>
        </w:tc>
        <w:tc>
          <w:tcPr>
            <w:tcW w:w="4441" w:type="dxa"/>
            <w:gridSpan w:val="2"/>
            <w:tcBorders>
              <w:left w:val="nil"/>
            </w:tcBorders>
            <w:tcMar>
              <w:top w:w="57" w:type="dxa"/>
            </w:tcMar>
          </w:tcPr>
          <w:p w:rsidRPr="00F45AF5" w:rsidR="001D1B5B" w:rsidP="00A676BF" w:rsidRDefault="00A91CE0">
            <w:pPr>
              <w:spacing w:after="0" w:line="240" w:lineRule="auto"/>
              <w:jc w:val="both"/>
              <w:rPr>
                <w:rFonts w:ascii="Arial" w:hAnsi="Arial" w:eastAsia="Times New Roman" w:cs="Arial"/>
                <w:szCs w:val="20"/>
                <w:lang w:val="en-US"/>
              </w:rPr>
            </w:pPr>
            <w:bookmarkStart w:name="_Toc287275442" w:id="43"/>
            <w:bookmarkStart w:name="_Toc287508785" w:id="44"/>
            <w:r w:rsidRPr="00F45AF5">
              <w:rPr>
                <w:rFonts w:ascii="Arial" w:hAnsi="Arial" w:cs="Arial"/>
                <w:szCs w:val="20"/>
              </w:rPr>
              <w:t xml:space="preserve">Except where the positions of the </w:t>
            </w:r>
            <w:r w:rsidR="0092364F">
              <w:rPr>
                <w:rFonts w:ascii="Arial" w:hAnsi="Arial" w:cs="Arial"/>
                <w:szCs w:val="20"/>
              </w:rPr>
              <w:t>C</w:t>
            </w:r>
            <w:r w:rsidRPr="00F45AF5">
              <w:rPr>
                <w:rFonts w:ascii="Arial" w:hAnsi="Arial" w:cs="Arial"/>
                <w:szCs w:val="20"/>
              </w:rPr>
              <w:t xml:space="preserve">hairman of the Board and the </w:t>
            </w:r>
            <w:r w:rsidR="00A676BF">
              <w:rPr>
                <w:rFonts w:ascii="Arial" w:hAnsi="Arial" w:cs="Arial"/>
                <w:szCs w:val="20"/>
              </w:rPr>
              <w:t>C</w:t>
            </w:r>
            <w:r w:rsidRPr="00F45AF5">
              <w:rPr>
                <w:rFonts w:ascii="Arial" w:hAnsi="Arial" w:cs="Arial"/>
                <w:szCs w:val="20"/>
              </w:rPr>
              <w:t xml:space="preserve">hief </w:t>
            </w:r>
            <w:r w:rsidR="00A676BF">
              <w:rPr>
                <w:rFonts w:ascii="Arial" w:hAnsi="Arial" w:cs="Arial"/>
                <w:szCs w:val="20"/>
              </w:rPr>
              <w:t>E</w:t>
            </w:r>
            <w:r w:rsidRPr="00F45AF5">
              <w:rPr>
                <w:rFonts w:ascii="Arial" w:hAnsi="Arial" w:cs="Arial"/>
                <w:szCs w:val="20"/>
              </w:rPr>
              <w:t xml:space="preserve">xecutive are held by the same individual, the </w:t>
            </w:r>
            <w:r w:rsidR="00A676BF">
              <w:rPr>
                <w:rFonts w:ascii="Arial" w:hAnsi="Arial" w:cs="Arial"/>
                <w:szCs w:val="20"/>
              </w:rPr>
              <w:t>C</w:t>
            </w:r>
            <w:r w:rsidRPr="00F45AF5">
              <w:rPr>
                <w:rFonts w:ascii="Arial" w:hAnsi="Arial" w:cs="Arial"/>
                <w:szCs w:val="20"/>
              </w:rPr>
              <w:t>hairman of the Board should meet the independence criteria set out in paragraph 31.</w:t>
            </w:r>
            <w:bookmarkEnd w:id="43"/>
            <w:bookmarkEnd w:id="44"/>
            <w:r w:rsidRPr="00F45AF5">
              <w:rPr>
                <w:rFonts w:ascii="Arial" w:hAnsi="Arial" w:cs="Arial"/>
                <w:szCs w:val="20"/>
              </w:rPr>
              <w:t xml:space="preserve">    </w:t>
            </w:r>
          </w:p>
        </w:tc>
        <w:tc>
          <w:tcPr>
            <w:tcW w:w="2090" w:type="dxa"/>
            <w:gridSpan w:val="2"/>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21.</w:t>
            </w:r>
          </w:p>
        </w:tc>
        <w:tc>
          <w:tcPr>
            <w:tcW w:w="4441" w:type="dxa"/>
            <w:gridSpan w:val="2"/>
            <w:tcBorders>
              <w:left w:val="nil"/>
            </w:tcBorders>
            <w:tcMar>
              <w:top w:w="57" w:type="dxa"/>
            </w:tcMar>
          </w:tcPr>
          <w:p w:rsidRPr="00F45AF5" w:rsidR="00A91CE0" w:rsidP="00C2006C" w:rsidRDefault="00A91CE0">
            <w:pPr>
              <w:spacing w:after="0" w:line="240" w:lineRule="auto"/>
              <w:jc w:val="both"/>
              <w:rPr>
                <w:rFonts w:ascii="Arial" w:hAnsi="Arial" w:cs="Arial"/>
                <w:szCs w:val="20"/>
              </w:rPr>
            </w:pPr>
            <w:bookmarkStart w:name="_Toc287275443" w:id="45"/>
            <w:bookmarkStart w:name="_Toc287508786" w:id="46"/>
            <w:r w:rsidRPr="00F45AF5">
              <w:rPr>
                <w:rFonts w:ascii="Arial" w:hAnsi="Arial" w:cs="Arial"/>
                <w:szCs w:val="20"/>
              </w:rPr>
              <w:t>The annual report of the Reporting Entity should:</w:t>
            </w:r>
            <w:bookmarkEnd w:id="45"/>
            <w:bookmarkEnd w:id="46"/>
          </w:p>
          <w:p w:rsidRPr="00F45AF5" w:rsidR="00A91CE0" w:rsidP="00C2006C" w:rsidRDefault="00A91CE0">
            <w:pPr>
              <w:spacing w:after="0" w:line="240" w:lineRule="auto"/>
              <w:jc w:val="both"/>
              <w:rPr>
                <w:rFonts w:ascii="Arial" w:hAnsi="Arial" w:cs="Arial"/>
                <w:szCs w:val="20"/>
              </w:rPr>
            </w:pPr>
            <w:bookmarkStart w:name="_Toc287275444" w:id="47"/>
            <w:bookmarkStart w:name="_Toc287508787" w:id="48"/>
            <w:r w:rsidRPr="00F45AF5">
              <w:rPr>
                <w:rFonts w:ascii="Arial" w:hAnsi="Arial" w:cs="Arial"/>
                <w:szCs w:val="20"/>
              </w:rPr>
              <w:t xml:space="preserve">a)  identify the </w:t>
            </w:r>
            <w:r w:rsidR="00A676BF">
              <w:rPr>
                <w:rFonts w:ascii="Arial" w:hAnsi="Arial" w:cs="Arial"/>
                <w:szCs w:val="20"/>
              </w:rPr>
              <w:t>C</w:t>
            </w:r>
            <w:r w:rsidRPr="00F45AF5">
              <w:rPr>
                <w:rFonts w:ascii="Arial" w:hAnsi="Arial" w:cs="Arial"/>
                <w:szCs w:val="20"/>
              </w:rPr>
              <w:t xml:space="preserve">hairman, the </w:t>
            </w:r>
            <w:r w:rsidR="00A676BF">
              <w:rPr>
                <w:rFonts w:ascii="Arial" w:hAnsi="Arial" w:cs="Arial"/>
                <w:szCs w:val="20"/>
              </w:rPr>
              <w:t>D</w:t>
            </w:r>
            <w:r w:rsidRPr="00F45AF5">
              <w:rPr>
                <w:rFonts w:ascii="Arial" w:hAnsi="Arial" w:cs="Arial"/>
                <w:szCs w:val="20"/>
              </w:rPr>
              <w:t xml:space="preserve">eputy </w:t>
            </w:r>
            <w:r w:rsidR="00A676BF">
              <w:rPr>
                <w:rFonts w:ascii="Arial" w:hAnsi="Arial" w:cs="Arial"/>
                <w:szCs w:val="20"/>
              </w:rPr>
              <w:t>C</w:t>
            </w:r>
            <w:r w:rsidRPr="00F45AF5">
              <w:rPr>
                <w:rFonts w:ascii="Arial" w:hAnsi="Arial" w:cs="Arial"/>
                <w:szCs w:val="20"/>
              </w:rPr>
              <w:t xml:space="preserve">hairman </w:t>
            </w:r>
          </w:p>
          <w:p w:rsidRPr="00F45AF5" w:rsidR="00A91CE0" w:rsidP="00C2006C" w:rsidRDefault="00A91CE0">
            <w:pPr>
              <w:spacing w:after="0" w:line="240" w:lineRule="auto"/>
              <w:jc w:val="both"/>
              <w:rPr>
                <w:rFonts w:ascii="Arial" w:hAnsi="Arial" w:cs="Arial"/>
                <w:szCs w:val="20"/>
              </w:rPr>
            </w:pPr>
            <w:r w:rsidRPr="00F45AF5">
              <w:rPr>
                <w:rFonts w:ascii="Arial" w:hAnsi="Arial" w:cs="Arial"/>
                <w:szCs w:val="20"/>
              </w:rPr>
              <w:t xml:space="preserve">(where there is one) and the </w:t>
            </w:r>
            <w:r w:rsidR="00A676BF">
              <w:rPr>
                <w:rFonts w:ascii="Arial" w:hAnsi="Arial" w:cs="Arial"/>
                <w:szCs w:val="20"/>
              </w:rPr>
              <w:t>C</w:t>
            </w:r>
            <w:r w:rsidRPr="00F45AF5">
              <w:rPr>
                <w:rFonts w:ascii="Arial" w:hAnsi="Arial" w:cs="Arial"/>
                <w:szCs w:val="20"/>
              </w:rPr>
              <w:t xml:space="preserve">hief </w:t>
            </w:r>
            <w:r w:rsidR="00A676BF">
              <w:rPr>
                <w:rFonts w:ascii="Arial" w:hAnsi="Arial" w:cs="Arial"/>
                <w:szCs w:val="20"/>
              </w:rPr>
              <w:t>E</w:t>
            </w:r>
            <w:r w:rsidRPr="00F45AF5">
              <w:rPr>
                <w:rFonts w:ascii="Arial" w:hAnsi="Arial" w:cs="Arial"/>
                <w:szCs w:val="20"/>
              </w:rPr>
              <w:t xml:space="preserve">xecutive;   </w:t>
            </w:r>
          </w:p>
          <w:p w:rsidRPr="00F45AF5" w:rsidR="00A91CE0" w:rsidP="00C2006C" w:rsidRDefault="00A91CE0">
            <w:pPr>
              <w:spacing w:after="0" w:line="240" w:lineRule="auto"/>
              <w:jc w:val="both"/>
              <w:rPr>
                <w:rFonts w:ascii="Arial" w:hAnsi="Arial" w:cs="Arial"/>
                <w:szCs w:val="20"/>
              </w:rPr>
            </w:pPr>
            <w:r w:rsidRPr="00F45AF5">
              <w:rPr>
                <w:rFonts w:ascii="Arial" w:hAnsi="Arial" w:cs="Arial"/>
                <w:szCs w:val="20"/>
              </w:rPr>
              <w:t>and</w:t>
            </w:r>
            <w:bookmarkEnd w:id="47"/>
            <w:bookmarkEnd w:id="48"/>
          </w:p>
          <w:p w:rsidRPr="00F45AF5" w:rsidR="00A91CE0" w:rsidP="00C2006C" w:rsidRDefault="00A91CE0">
            <w:pPr>
              <w:spacing w:after="0" w:line="240" w:lineRule="auto"/>
              <w:jc w:val="both"/>
              <w:rPr>
                <w:rFonts w:ascii="Arial" w:hAnsi="Arial" w:cs="Arial"/>
                <w:szCs w:val="20"/>
              </w:rPr>
            </w:pPr>
            <w:bookmarkStart w:name="_Toc287275445" w:id="49"/>
            <w:bookmarkStart w:name="_Toc287508788" w:id="50"/>
            <w:r w:rsidRPr="00F45AF5">
              <w:rPr>
                <w:rFonts w:ascii="Arial" w:hAnsi="Arial" w:cs="Arial"/>
                <w:szCs w:val="20"/>
              </w:rPr>
              <w:t xml:space="preserve">b)   include a high level statement of which types </w:t>
            </w:r>
          </w:p>
          <w:p w:rsidRPr="00F45AF5" w:rsidR="00A91CE0" w:rsidP="00C2006C" w:rsidRDefault="00A91CE0">
            <w:pPr>
              <w:spacing w:after="0" w:line="240" w:lineRule="auto"/>
              <w:jc w:val="both"/>
              <w:rPr>
                <w:rFonts w:ascii="Arial" w:hAnsi="Arial" w:cs="Arial"/>
                <w:szCs w:val="20"/>
              </w:rPr>
            </w:pPr>
            <w:r w:rsidRPr="00F45AF5">
              <w:rPr>
                <w:rFonts w:ascii="Arial" w:hAnsi="Arial" w:cs="Arial"/>
                <w:szCs w:val="20"/>
              </w:rPr>
              <w:t xml:space="preserve">of decisions are to be taken by the Board and </w:t>
            </w:r>
          </w:p>
          <w:p w:rsidRPr="00F45AF5" w:rsidR="00A91CE0" w:rsidP="00C2006C" w:rsidRDefault="00A91CE0">
            <w:pPr>
              <w:spacing w:after="0" w:line="240" w:lineRule="auto"/>
              <w:jc w:val="both"/>
              <w:rPr>
                <w:rFonts w:ascii="Arial" w:hAnsi="Arial" w:cs="Arial"/>
                <w:szCs w:val="20"/>
              </w:rPr>
            </w:pPr>
            <w:r w:rsidRPr="00F45AF5">
              <w:rPr>
                <w:rFonts w:ascii="Arial" w:hAnsi="Arial" w:cs="Arial"/>
                <w:szCs w:val="20"/>
              </w:rPr>
              <w:t xml:space="preserve">which are to be delegated to the Senior </w:t>
            </w:r>
          </w:p>
          <w:p w:rsidRPr="00F45AF5" w:rsidR="00A91CE0" w:rsidP="00C2006C" w:rsidRDefault="00A91CE0">
            <w:pPr>
              <w:spacing w:after="0" w:line="240" w:lineRule="auto"/>
              <w:jc w:val="both"/>
              <w:rPr>
                <w:rFonts w:ascii="Arial" w:hAnsi="Arial" w:cs="Arial"/>
                <w:szCs w:val="20"/>
              </w:rPr>
            </w:pPr>
            <w:r w:rsidRPr="00F45AF5">
              <w:rPr>
                <w:rFonts w:ascii="Arial" w:hAnsi="Arial" w:cs="Arial"/>
                <w:szCs w:val="20"/>
              </w:rPr>
              <w:t>Management.</w:t>
            </w:r>
            <w:bookmarkEnd w:id="49"/>
            <w:bookmarkEnd w:id="50"/>
            <w:r w:rsidRPr="00F45AF5">
              <w:rPr>
                <w:rFonts w:ascii="Arial" w:hAnsi="Arial" w:cs="Arial"/>
                <w:szCs w:val="20"/>
              </w:rPr>
              <w:t xml:space="preserve">  </w:t>
            </w:r>
          </w:p>
          <w:p w:rsidRPr="00F45AF5" w:rsidR="001D1B5B" w:rsidP="001D1B5B" w:rsidRDefault="001D1B5B">
            <w:pPr>
              <w:spacing w:after="0" w:line="240" w:lineRule="auto"/>
              <w:rPr>
                <w:rFonts w:ascii="Arial" w:hAnsi="Arial" w:eastAsia="Times New Roman" w:cs="Arial"/>
                <w:szCs w:val="20"/>
                <w:lang w:val="en-US"/>
              </w:rPr>
            </w:pPr>
          </w:p>
        </w:tc>
        <w:tc>
          <w:tcPr>
            <w:tcW w:w="2090" w:type="dxa"/>
            <w:gridSpan w:val="2"/>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1D1B5B">
            <w:pPr>
              <w:spacing w:after="0" w:line="240" w:lineRule="auto"/>
              <w:rPr>
                <w:rFonts w:ascii="Arial" w:hAnsi="Arial" w:eastAsia="Times New Roman" w:cs="Arial"/>
                <w:szCs w:val="20"/>
                <w:lang w:val="en-US"/>
              </w:rPr>
            </w:pPr>
          </w:p>
        </w:tc>
        <w:tc>
          <w:tcPr>
            <w:tcW w:w="4441" w:type="dxa"/>
            <w:gridSpan w:val="2"/>
            <w:tcBorders>
              <w:left w:val="nil"/>
            </w:tcBorders>
            <w:tcMar>
              <w:top w:w="57" w:type="dxa"/>
            </w:tcMar>
          </w:tcPr>
          <w:p w:rsidRPr="00F45AF5" w:rsidR="001D1B5B" w:rsidP="00C2006C" w:rsidRDefault="00A91CE0">
            <w:pPr>
              <w:spacing w:after="0" w:line="240" w:lineRule="auto"/>
              <w:jc w:val="both"/>
              <w:rPr>
                <w:rFonts w:ascii="Arial" w:hAnsi="Arial" w:cs="Arial"/>
                <w:b/>
                <w:color w:val="CC0000"/>
                <w:szCs w:val="20"/>
              </w:rPr>
            </w:pPr>
            <w:r w:rsidRPr="00F45AF5">
              <w:rPr>
                <w:rFonts w:ascii="Arial" w:hAnsi="Arial" w:cs="Arial"/>
                <w:b/>
                <w:color w:val="CC0000"/>
                <w:szCs w:val="20"/>
              </w:rPr>
              <w:t>Principle 3 – Board composition and resources</w:t>
            </w:r>
          </w:p>
        </w:tc>
        <w:tc>
          <w:tcPr>
            <w:tcW w:w="2090" w:type="dxa"/>
            <w:gridSpan w:val="2"/>
            <w:tcMar>
              <w:top w:w="57" w:type="dxa"/>
            </w:tcMar>
          </w:tcPr>
          <w:p w:rsidRPr="00F45AF5" w:rsidR="001D1B5B" w:rsidP="001D1B5B" w:rsidRDefault="001D1B5B">
            <w:pPr>
              <w:spacing w:after="0" w:line="240" w:lineRule="auto"/>
              <w:rPr>
                <w:rFonts w:ascii="Arial" w:hAnsi="Arial" w:eastAsia="Times New Roman" w:cs="Arial"/>
                <w:szCs w:val="20"/>
                <w:lang w:eastAsia="en-GB"/>
              </w:rPr>
            </w:pPr>
          </w:p>
        </w:tc>
        <w:tc>
          <w:tcPr>
            <w:tcW w:w="2031" w:type="dxa"/>
            <w:tcMar>
              <w:top w:w="57" w:type="dxa"/>
            </w:tcMar>
          </w:tcPr>
          <w:p w:rsidRPr="00F45AF5" w:rsidR="001D1B5B" w:rsidP="001D1B5B" w:rsidRDefault="001D1B5B">
            <w:pPr>
              <w:spacing w:after="0" w:line="240" w:lineRule="auto"/>
              <w:rPr>
                <w:rFonts w:ascii="Arial" w:hAnsi="Arial" w:eastAsia="Times New Roman" w:cs="Arial"/>
                <w:szCs w:val="20"/>
                <w:lang w:eastAsia="en-GB"/>
              </w:rPr>
            </w:pPr>
          </w:p>
        </w:tc>
      </w:tr>
      <w:tr w:rsidRPr="00F45AF5" w:rsidR="001D1B5B" w:rsidTr="00C03C08">
        <w:trPr>
          <w:cantSplit/>
        </w:trPr>
        <w:tc>
          <w:tcPr>
            <w:tcW w:w="709" w:type="dxa"/>
            <w:tcBorders>
              <w:right w:val="nil"/>
            </w:tcBorders>
            <w:tcMar>
              <w:top w:w="57" w:type="dxa"/>
            </w:tcMar>
          </w:tcPr>
          <w:p w:rsidRPr="00F45AF5" w:rsidR="001D1B5B" w:rsidP="001D1B5B" w:rsidRDefault="001D1B5B">
            <w:pPr>
              <w:spacing w:after="0" w:line="240" w:lineRule="auto"/>
              <w:rPr>
                <w:rFonts w:ascii="Arial" w:hAnsi="Arial" w:eastAsia="Times New Roman" w:cs="Arial"/>
                <w:szCs w:val="20"/>
                <w:lang w:val="en-US"/>
              </w:rPr>
            </w:pPr>
          </w:p>
        </w:tc>
        <w:tc>
          <w:tcPr>
            <w:tcW w:w="4441" w:type="dxa"/>
            <w:gridSpan w:val="2"/>
            <w:tcBorders>
              <w:left w:val="nil"/>
            </w:tcBorders>
            <w:tcMar>
              <w:top w:w="57" w:type="dxa"/>
            </w:tcMar>
          </w:tcPr>
          <w:p w:rsidRPr="00F45AF5" w:rsidR="001D1B5B" w:rsidP="00C2006C" w:rsidRDefault="00A91CE0">
            <w:pPr>
              <w:spacing w:after="0" w:line="240" w:lineRule="auto"/>
              <w:jc w:val="both"/>
              <w:rPr>
                <w:rFonts w:ascii="Arial" w:hAnsi="Arial" w:cs="Arial"/>
                <w:b/>
                <w:color w:val="CC0000"/>
                <w:szCs w:val="20"/>
              </w:rPr>
            </w:pPr>
            <w:r w:rsidRPr="00F45AF5">
              <w:rPr>
                <w:rFonts w:ascii="Arial" w:hAnsi="Arial" w:cs="Arial"/>
                <w:b/>
                <w:color w:val="CC0000"/>
                <w:szCs w:val="20"/>
              </w:rPr>
              <w:t>Balance of skills and independence</w:t>
            </w:r>
          </w:p>
        </w:tc>
        <w:tc>
          <w:tcPr>
            <w:tcW w:w="2090" w:type="dxa"/>
            <w:gridSpan w:val="2"/>
            <w:tcMar>
              <w:top w:w="57" w:type="dxa"/>
            </w:tcMar>
          </w:tcPr>
          <w:p w:rsidRPr="00F45AF5" w:rsidR="001D1B5B" w:rsidP="001D1B5B" w:rsidRDefault="001D1B5B">
            <w:pPr>
              <w:spacing w:after="0" w:line="240" w:lineRule="auto"/>
              <w:rPr>
                <w:rFonts w:ascii="Arial" w:hAnsi="Arial" w:eastAsia="Times New Roman" w:cs="Arial"/>
                <w:szCs w:val="20"/>
                <w:lang w:eastAsia="en-GB"/>
              </w:rPr>
            </w:pPr>
          </w:p>
        </w:tc>
        <w:tc>
          <w:tcPr>
            <w:tcW w:w="2031" w:type="dxa"/>
            <w:tcMar>
              <w:top w:w="57" w:type="dxa"/>
            </w:tcMar>
          </w:tcPr>
          <w:p w:rsidRPr="00F45AF5" w:rsidR="001D1B5B" w:rsidP="001D1B5B" w:rsidRDefault="001D1B5B">
            <w:pPr>
              <w:spacing w:after="0" w:line="240" w:lineRule="auto"/>
              <w:rPr>
                <w:rFonts w:ascii="Arial" w:hAnsi="Arial" w:eastAsia="Times New Roman" w:cs="Arial"/>
                <w:szCs w:val="20"/>
                <w:lang w:eastAsia="en-GB"/>
              </w:rPr>
            </w:pP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22.</w:t>
            </w:r>
          </w:p>
        </w:tc>
        <w:tc>
          <w:tcPr>
            <w:tcW w:w="4441" w:type="dxa"/>
            <w:gridSpan w:val="2"/>
            <w:tcBorders>
              <w:left w:val="nil"/>
            </w:tcBorders>
            <w:tcMar>
              <w:top w:w="57" w:type="dxa"/>
            </w:tcMar>
          </w:tcPr>
          <w:p w:rsidRPr="00F45AF5" w:rsidR="001D1B5B" w:rsidP="00C2006C" w:rsidRDefault="00A91CE0">
            <w:pPr>
              <w:spacing w:after="0" w:line="240" w:lineRule="auto"/>
              <w:jc w:val="both"/>
              <w:rPr>
                <w:rFonts w:ascii="Arial" w:hAnsi="Arial" w:eastAsia="Times New Roman" w:cs="Arial"/>
                <w:szCs w:val="20"/>
                <w:lang w:val="en-US"/>
              </w:rPr>
            </w:pPr>
            <w:bookmarkStart w:name="_Toc287275446" w:id="51"/>
            <w:bookmarkStart w:name="_Toc287508789" w:id="52"/>
            <w:r w:rsidRPr="00F45AF5">
              <w:rPr>
                <w:rFonts w:ascii="Arial" w:hAnsi="Arial" w:cs="Arial"/>
                <w:szCs w:val="20"/>
              </w:rPr>
              <w:t>A major consideration that underpins the effectiveness of the Board is the availability at the Board level of the relevant skills, expertise and resources as are necessary to discharge the Board functions, taking due account of the nature, scale and complexity of the business of the Reporting Entity.</w:t>
            </w:r>
            <w:bookmarkEnd w:id="51"/>
            <w:bookmarkEnd w:id="52"/>
            <w:r w:rsidRPr="00F45AF5">
              <w:rPr>
                <w:rFonts w:ascii="Arial" w:hAnsi="Arial" w:cs="Arial"/>
                <w:szCs w:val="20"/>
              </w:rPr>
              <w:t xml:space="preserve">  </w:t>
            </w:r>
          </w:p>
        </w:tc>
        <w:tc>
          <w:tcPr>
            <w:tcW w:w="2090" w:type="dxa"/>
            <w:gridSpan w:val="2"/>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23.</w:t>
            </w:r>
          </w:p>
        </w:tc>
        <w:tc>
          <w:tcPr>
            <w:tcW w:w="4441" w:type="dxa"/>
            <w:gridSpan w:val="2"/>
            <w:tcBorders>
              <w:left w:val="nil"/>
            </w:tcBorders>
            <w:tcMar>
              <w:top w:w="57" w:type="dxa"/>
            </w:tcMar>
          </w:tcPr>
          <w:p w:rsidRPr="00F45AF5" w:rsidR="001D1B5B" w:rsidP="00C2006C" w:rsidRDefault="00A91CE0">
            <w:pPr>
              <w:spacing w:after="0" w:line="240" w:lineRule="auto"/>
              <w:jc w:val="both"/>
              <w:rPr>
                <w:rFonts w:ascii="Arial" w:hAnsi="Arial" w:eastAsia="Times New Roman" w:cs="Arial"/>
                <w:szCs w:val="20"/>
                <w:lang w:val="en-US"/>
              </w:rPr>
            </w:pPr>
            <w:bookmarkStart w:name="_Toc287275447" w:id="53"/>
            <w:bookmarkStart w:name="_Toc287508790" w:id="54"/>
            <w:r w:rsidRPr="00F45AF5">
              <w:rPr>
                <w:rFonts w:ascii="Arial" w:hAnsi="Arial" w:cs="Arial"/>
                <w:szCs w:val="20"/>
              </w:rPr>
              <w:t>It may well be that no single Director has all the knowledge, skills and expertise needed by a Board to discharge its functions.  The Board should have an appropriate number and mix of individuals to ensure that there is an overall adequate level of knowledge, skills and expertise commensurate with the nature, scale and complexity of the business of the Reporting Entity.</w:t>
            </w:r>
            <w:bookmarkEnd w:id="53"/>
            <w:bookmarkEnd w:id="54"/>
            <w:r w:rsidRPr="00F45AF5">
              <w:rPr>
                <w:rFonts w:ascii="Arial" w:hAnsi="Arial" w:cs="Arial"/>
                <w:szCs w:val="20"/>
              </w:rPr>
              <w:t xml:space="preserve">  </w:t>
            </w:r>
          </w:p>
        </w:tc>
        <w:tc>
          <w:tcPr>
            <w:tcW w:w="2090" w:type="dxa"/>
            <w:gridSpan w:val="2"/>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lastRenderedPageBreak/>
              <w:t>24.</w:t>
            </w:r>
          </w:p>
        </w:tc>
        <w:tc>
          <w:tcPr>
            <w:tcW w:w="4441" w:type="dxa"/>
            <w:gridSpan w:val="2"/>
            <w:tcBorders>
              <w:left w:val="nil"/>
            </w:tcBorders>
            <w:tcMar>
              <w:top w:w="57" w:type="dxa"/>
            </w:tcMar>
          </w:tcPr>
          <w:p w:rsidRPr="00F45AF5" w:rsidR="001D1B5B" w:rsidP="00C2006C" w:rsidRDefault="00A91CE0">
            <w:pPr>
              <w:spacing w:after="0" w:line="240" w:lineRule="auto"/>
              <w:jc w:val="both"/>
              <w:rPr>
                <w:rFonts w:ascii="Arial" w:hAnsi="Arial" w:eastAsia="Times New Roman" w:cs="Arial"/>
                <w:szCs w:val="20"/>
                <w:lang w:val="en-US"/>
              </w:rPr>
            </w:pPr>
            <w:bookmarkStart w:name="_Toc287275448" w:id="55"/>
            <w:bookmarkStart w:name="_Toc287508791" w:id="56"/>
            <w:r w:rsidRPr="00F45AF5">
              <w:rPr>
                <w:rFonts w:ascii="Arial" w:hAnsi="Arial" w:cs="Arial"/>
                <w:szCs w:val="20"/>
              </w:rPr>
              <w:t>In order to ensure that the Board is equipped with the necessary skills, expertise and resources appropriate to the business of the Reporting Entity, there should be a formal, rigorous and transparent procedure for the appointment of Directors to the Board. Appointments to the Board should be made on merit and aga</w:t>
            </w:r>
            <w:r w:rsidRPr="00F45AF5" w:rsidR="00851FD8">
              <w:rPr>
                <w:rFonts w:ascii="Arial" w:hAnsi="Arial" w:cs="Arial"/>
                <w:szCs w:val="20"/>
              </w:rPr>
              <w:t xml:space="preserve">inst objective criteria, </w:t>
            </w:r>
            <w:r w:rsidRPr="00F45AF5">
              <w:rPr>
                <w:rFonts w:ascii="Arial" w:hAnsi="Arial" w:cs="Arial"/>
                <w:szCs w:val="20"/>
              </w:rPr>
              <w:t>with due regard to the benefits of diversity on the Board. Care should be taken to ensure that appointees have enough time available to devote to the job. This is particularly important in the case of chairmanships.</w:t>
            </w:r>
            <w:bookmarkEnd w:id="55"/>
            <w:bookmarkEnd w:id="56"/>
          </w:p>
        </w:tc>
        <w:tc>
          <w:tcPr>
            <w:tcW w:w="2090" w:type="dxa"/>
            <w:gridSpan w:val="2"/>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25.</w:t>
            </w:r>
          </w:p>
        </w:tc>
        <w:tc>
          <w:tcPr>
            <w:tcW w:w="4441" w:type="dxa"/>
            <w:gridSpan w:val="2"/>
            <w:tcBorders>
              <w:left w:val="nil"/>
            </w:tcBorders>
            <w:tcMar>
              <w:top w:w="57" w:type="dxa"/>
            </w:tcMar>
          </w:tcPr>
          <w:p w:rsidRPr="00F45AF5" w:rsidR="001D1B5B" w:rsidP="00C2006C" w:rsidRDefault="00A91CE0">
            <w:pPr>
              <w:spacing w:after="0" w:line="240" w:lineRule="auto"/>
              <w:jc w:val="both"/>
              <w:rPr>
                <w:rFonts w:ascii="Arial" w:hAnsi="Arial" w:eastAsia="Times New Roman" w:cs="Arial"/>
                <w:szCs w:val="20"/>
                <w:lang w:val="en-US"/>
              </w:rPr>
            </w:pPr>
            <w:bookmarkStart w:name="_Toc287275449" w:id="57"/>
            <w:bookmarkStart w:name="_Toc287508792" w:id="58"/>
            <w:r w:rsidRPr="00F45AF5">
              <w:rPr>
                <w:rFonts w:ascii="Arial" w:hAnsi="Arial" w:cs="Arial"/>
                <w:szCs w:val="20"/>
              </w:rPr>
              <w:t>All Directors should be submitted for re-appointment at regular intervals, subject to continued satisfactory performance.  The Board should ensure planned and progressive refreshing of the Board to ensure the on-going effectiveness of the Board, particularly the objectivity of the decision making by the Board and maintaining the skills and expertise as relevant to the Reporting Entity’s business.</w:t>
            </w:r>
            <w:bookmarkEnd w:id="57"/>
            <w:bookmarkEnd w:id="58"/>
            <w:r w:rsidRPr="00F45AF5">
              <w:rPr>
                <w:rFonts w:ascii="Arial" w:hAnsi="Arial" w:cs="Arial"/>
                <w:szCs w:val="20"/>
              </w:rPr>
              <w:t xml:space="preserve">  </w:t>
            </w:r>
          </w:p>
        </w:tc>
        <w:tc>
          <w:tcPr>
            <w:tcW w:w="2090" w:type="dxa"/>
            <w:gridSpan w:val="2"/>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26.</w:t>
            </w:r>
          </w:p>
        </w:tc>
        <w:tc>
          <w:tcPr>
            <w:tcW w:w="4441" w:type="dxa"/>
            <w:gridSpan w:val="2"/>
            <w:tcBorders>
              <w:left w:val="nil"/>
            </w:tcBorders>
            <w:tcMar>
              <w:top w:w="57" w:type="dxa"/>
            </w:tcMar>
          </w:tcPr>
          <w:p w:rsidRPr="00F45AF5" w:rsidR="001D1B5B" w:rsidP="00C2006C" w:rsidRDefault="00A91CE0">
            <w:pPr>
              <w:spacing w:after="0" w:line="240" w:lineRule="auto"/>
              <w:jc w:val="both"/>
              <w:rPr>
                <w:rFonts w:ascii="Arial" w:hAnsi="Arial" w:eastAsia="Times New Roman" w:cs="Arial"/>
                <w:szCs w:val="20"/>
                <w:lang w:val="en-US"/>
              </w:rPr>
            </w:pPr>
            <w:bookmarkStart w:name="_Toc287275450" w:id="59"/>
            <w:bookmarkStart w:name="_Toc287508793" w:id="60"/>
            <w:r w:rsidRPr="00F45AF5">
              <w:rPr>
                <w:rFonts w:ascii="Arial" w:hAnsi="Arial" w:cs="Arial"/>
                <w:szCs w:val="20"/>
              </w:rPr>
              <w:t>All Directors should be subject to election by shareholders at the first annual general meeting after their appointment, and to re-election thereafter at</w:t>
            </w:r>
            <w:r w:rsidR="00A676BF">
              <w:rPr>
                <w:rFonts w:ascii="Arial" w:hAnsi="Arial" w:cs="Arial"/>
                <w:szCs w:val="20"/>
              </w:rPr>
              <w:t xml:space="preserve"> intervals of no more than 3</w:t>
            </w:r>
            <w:r w:rsidRPr="00F45AF5">
              <w:rPr>
                <w:rFonts w:ascii="Arial" w:hAnsi="Arial" w:cs="Arial"/>
                <w:szCs w:val="20"/>
              </w:rPr>
              <w:t xml:space="preserve"> years.  The Board should satisfy itself that there is adequate succession planning in respect of Board membership and the Senior Management, so as to ensure an orderly and smooth change-over of positions whilst maintaining an appropriate balance of skills and experience within the Reporting Entity and on the Board.</w:t>
            </w:r>
            <w:bookmarkEnd w:id="59"/>
            <w:bookmarkEnd w:id="60"/>
          </w:p>
        </w:tc>
        <w:tc>
          <w:tcPr>
            <w:tcW w:w="2090" w:type="dxa"/>
            <w:gridSpan w:val="2"/>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bl>
    <w:p w:rsidR="00A676BF" w:rsidRDefault="00A676BF">
      <w:r>
        <w:br w:type="page"/>
      </w:r>
    </w:p>
    <w:tbl>
      <w:tblPr>
        <w:tblW w:w="9271"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709"/>
        <w:gridCol w:w="4441"/>
        <w:gridCol w:w="2090"/>
        <w:gridCol w:w="2031"/>
      </w:tblGrid>
      <w:tr w:rsidRPr="00F45AF5" w:rsidR="001D1B5B" w:rsidTr="00C03C08">
        <w:trPr>
          <w:cantSplit/>
        </w:trPr>
        <w:tc>
          <w:tcPr>
            <w:tcW w:w="709" w:type="dxa"/>
            <w:tcBorders>
              <w:right w:val="nil"/>
            </w:tcBorders>
            <w:tcMar>
              <w:top w:w="57" w:type="dxa"/>
            </w:tcMar>
          </w:tcPr>
          <w:p w:rsidRPr="00F45AF5" w:rsidR="001D1B5B" w:rsidP="001D1B5B" w:rsidRDefault="001D1B5B">
            <w:pPr>
              <w:spacing w:after="0" w:line="240" w:lineRule="auto"/>
              <w:rPr>
                <w:rFonts w:ascii="Arial" w:hAnsi="Arial" w:eastAsia="Times New Roman" w:cs="Arial"/>
                <w:szCs w:val="20"/>
                <w:lang w:val="en-US"/>
              </w:rPr>
            </w:pPr>
          </w:p>
        </w:tc>
        <w:tc>
          <w:tcPr>
            <w:tcW w:w="4441" w:type="dxa"/>
            <w:tcBorders>
              <w:left w:val="nil"/>
            </w:tcBorders>
            <w:tcMar>
              <w:top w:w="57" w:type="dxa"/>
            </w:tcMar>
          </w:tcPr>
          <w:p w:rsidRPr="00F45AF5" w:rsidR="001D1B5B" w:rsidP="00C2006C" w:rsidRDefault="00A91CE0">
            <w:pPr>
              <w:spacing w:after="0" w:line="240" w:lineRule="auto"/>
              <w:jc w:val="both"/>
              <w:rPr>
                <w:rFonts w:ascii="Arial" w:hAnsi="Arial" w:eastAsia="Times New Roman" w:cs="Arial"/>
                <w:szCs w:val="20"/>
                <w:lang w:val="en-US"/>
              </w:rPr>
            </w:pPr>
            <w:r w:rsidRPr="00F45AF5">
              <w:rPr>
                <w:rFonts w:ascii="Arial" w:hAnsi="Arial" w:cs="Arial"/>
                <w:b/>
                <w:color w:val="CC0000"/>
                <w:szCs w:val="20"/>
              </w:rPr>
              <w:t>Chairman</w:t>
            </w:r>
          </w:p>
        </w:tc>
        <w:tc>
          <w:tcPr>
            <w:tcW w:w="2090" w:type="dxa"/>
            <w:tcMar>
              <w:top w:w="57" w:type="dxa"/>
            </w:tcMar>
          </w:tcPr>
          <w:p w:rsidRPr="00F45AF5" w:rsidR="001D1B5B" w:rsidP="001D1B5B" w:rsidRDefault="001D1B5B">
            <w:pPr>
              <w:spacing w:after="0" w:line="240" w:lineRule="auto"/>
              <w:rPr>
                <w:rFonts w:ascii="Arial" w:hAnsi="Arial" w:eastAsia="Times New Roman" w:cs="Arial"/>
                <w:szCs w:val="20"/>
                <w:lang w:eastAsia="en-GB"/>
              </w:rPr>
            </w:pPr>
          </w:p>
        </w:tc>
        <w:tc>
          <w:tcPr>
            <w:tcW w:w="2031" w:type="dxa"/>
            <w:tcMar>
              <w:top w:w="57" w:type="dxa"/>
            </w:tcMar>
          </w:tcPr>
          <w:p w:rsidRPr="00F45AF5" w:rsidR="001D1B5B" w:rsidP="001D1B5B" w:rsidRDefault="001D1B5B">
            <w:pPr>
              <w:spacing w:after="0" w:line="240" w:lineRule="auto"/>
              <w:rPr>
                <w:rFonts w:ascii="Arial" w:hAnsi="Arial" w:eastAsia="Times New Roman" w:cs="Arial"/>
                <w:szCs w:val="20"/>
                <w:lang w:eastAsia="en-GB"/>
              </w:rPr>
            </w:pP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27.</w:t>
            </w:r>
          </w:p>
        </w:tc>
        <w:tc>
          <w:tcPr>
            <w:tcW w:w="4441" w:type="dxa"/>
            <w:tcBorders>
              <w:left w:val="nil"/>
            </w:tcBorders>
            <w:tcMar>
              <w:top w:w="57" w:type="dxa"/>
            </w:tcMar>
          </w:tcPr>
          <w:p w:rsidRPr="00F45AF5" w:rsidR="001D1B5B" w:rsidP="00C2006C" w:rsidRDefault="00A91CE0">
            <w:pPr>
              <w:spacing w:after="0" w:line="240" w:lineRule="auto"/>
              <w:jc w:val="both"/>
              <w:rPr>
                <w:rFonts w:ascii="Arial" w:hAnsi="Arial" w:eastAsia="Times New Roman" w:cs="Arial"/>
                <w:szCs w:val="20"/>
                <w:lang w:val="en-US"/>
              </w:rPr>
            </w:pPr>
            <w:bookmarkStart w:name="_Toc287275451" w:id="61"/>
            <w:bookmarkStart w:name="_Toc287508794" w:id="62"/>
            <w:r w:rsidRPr="00F45AF5">
              <w:rPr>
                <w:rFonts w:ascii="Arial" w:hAnsi="Arial" w:cs="Arial"/>
                <w:szCs w:val="20"/>
              </w:rPr>
              <w:t>For the appointment of a chairman, there should be a job specification, and an objective assessment against the relevant criteria including an assessment of the time commitment expected, recognising the need for availability in the event of crises. Generally, the nomination committee shou</w:t>
            </w:r>
            <w:r w:rsidR="00A676BF">
              <w:rPr>
                <w:rFonts w:ascii="Arial" w:hAnsi="Arial" w:cs="Arial"/>
                <w:szCs w:val="20"/>
              </w:rPr>
              <w:t>ld undertake this function.  A C</w:t>
            </w:r>
            <w:r w:rsidRPr="00F45AF5">
              <w:rPr>
                <w:rFonts w:ascii="Arial" w:hAnsi="Arial" w:cs="Arial"/>
                <w:szCs w:val="20"/>
              </w:rPr>
              <w:t>hairman’s other significant commitments should be disclosed to the Board before appointment and included in the annual report. Changes to such commitments should be reported to the Board as they arise, and their impact explained in the next annual report.</w:t>
            </w:r>
            <w:bookmarkEnd w:id="61"/>
            <w:bookmarkEnd w:id="62"/>
            <w:r w:rsidRPr="00F45AF5">
              <w:rPr>
                <w:rFonts w:ascii="Arial" w:hAnsi="Arial" w:cs="Arial"/>
                <w:szCs w:val="20"/>
              </w:rPr>
              <w:t xml:space="preserve">  </w:t>
            </w:r>
          </w:p>
        </w:tc>
        <w:tc>
          <w:tcPr>
            <w:tcW w:w="2090" w:type="dxa"/>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28.</w:t>
            </w:r>
          </w:p>
        </w:tc>
        <w:tc>
          <w:tcPr>
            <w:tcW w:w="4441" w:type="dxa"/>
            <w:tcBorders>
              <w:left w:val="nil"/>
            </w:tcBorders>
            <w:tcMar>
              <w:top w:w="57" w:type="dxa"/>
            </w:tcMar>
          </w:tcPr>
          <w:p w:rsidRPr="00F45AF5" w:rsidR="001D1B5B" w:rsidP="00A676BF" w:rsidRDefault="00A91CE0">
            <w:pPr>
              <w:spacing w:after="0" w:line="240" w:lineRule="auto"/>
              <w:jc w:val="both"/>
              <w:rPr>
                <w:rFonts w:ascii="Arial" w:hAnsi="Arial" w:eastAsia="Times New Roman" w:cs="Arial"/>
                <w:szCs w:val="20"/>
                <w:lang w:val="en-US"/>
              </w:rPr>
            </w:pPr>
            <w:bookmarkStart w:name="_Toc287275452" w:id="63"/>
            <w:bookmarkStart w:name="_Toc287508795" w:id="64"/>
            <w:r w:rsidRPr="00F45AF5">
              <w:rPr>
                <w:rFonts w:ascii="Arial" w:hAnsi="Arial" w:cs="Arial"/>
                <w:szCs w:val="20"/>
              </w:rPr>
              <w:t xml:space="preserve">The </w:t>
            </w:r>
            <w:r w:rsidR="00A676BF">
              <w:rPr>
                <w:rFonts w:ascii="Arial" w:hAnsi="Arial" w:cs="Arial"/>
                <w:szCs w:val="20"/>
              </w:rPr>
              <w:t>C</w:t>
            </w:r>
            <w:r w:rsidRPr="00F45AF5">
              <w:rPr>
                <w:rFonts w:ascii="Arial" w:hAnsi="Arial" w:cs="Arial"/>
                <w:szCs w:val="20"/>
              </w:rPr>
              <w:t xml:space="preserve">hairman should ensure that new Directors receive an appropriate induction on joining the Board.  The </w:t>
            </w:r>
            <w:r w:rsidR="00A676BF">
              <w:rPr>
                <w:rFonts w:ascii="Arial" w:hAnsi="Arial" w:cs="Arial"/>
                <w:szCs w:val="20"/>
              </w:rPr>
              <w:t>C</w:t>
            </w:r>
            <w:r w:rsidRPr="00F45AF5">
              <w:rPr>
                <w:rFonts w:ascii="Arial" w:hAnsi="Arial" w:cs="Arial"/>
                <w:szCs w:val="20"/>
              </w:rPr>
              <w:t>hairman should ensure that the Directors continually update their skills and their knowledge and familiarity with the Reporting Entity required in fulfilling their role both on the Board and its committees.  All Directors should have appropriate knowledge of the Reporting Entity and should be provided with adequate access to its operations and staff to carry out their respective responsibilities.</w:t>
            </w:r>
            <w:bookmarkEnd w:id="63"/>
            <w:bookmarkEnd w:id="64"/>
          </w:p>
        </w:tc>
        <w:tc>
          <w:tcPr>
            <w:tcW w:w="2090" w:type="dxa"/>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29.</w:t>
            </w:r>
          </w:p>
        </w:tc>
        <w:tc>
          <w:tcPr>
            <w:tcW w:w="4441" w:type="dxa"/>
            <w:tcBorders>
              <w:left w:val="nil"/>
            </w:tcBorders>
            <w:tcMar>
              <w:top w:w="57" w:type="dxa"/>
            </w:tcMar>
          </w:tcPr>
          <w:p w:rsidRPr="00F45AF5" w:rsidR="001D1B5B" w:rsidP="00C2006C" w:rsidRDefault="00A91CE0">
            <w:pPr>
              <w:spacing w:after="0" w:line="240" w:lineRule="auto"/>
              <w:jc w:val="both"/>
              <w:rPr>
                <w:rFonts w:ascii="Arial" w:hAnsi="Arial" w:eastAsia="Times New Roman" w:cs="Arial"/>
                <w:szCs w:val="20"/>
                <w:lang w:val="en-US"/>
              </w:rPr>
            </w:pPr>
            <w:bookmarkStart w:name="_Toc287275453" w:id="65"/>
            <w:bookmarkStart w:name="_Toc287508796" w:id="66"/>
            <w:r w:rsidRPr="00F45AF5">
              <w:rPr>
                <w:rFonts w:ascii="Arial" w:hAnsi="Arial" w:cs="Arial"/>
                <w:szCs w:val="20"/>
              </w:rPr>
              <w:t>The Reporting Entity should provide the necessary resources for developing and updating its Directors’ kn</w:t>
            </w:r>
            <w:r w:rsidR="00A676BF">
              <w:rPr>
                <w:rFonts w:ascii="Arial" w:hAnsi="Arial" w:cs="Arial"/>
                <w:szCs w:val="20"/>
              </w:rPr>
              <w:t>owledge and capabilities.  The C</w:t>
            </w:r>
            <w:r w:rsidRPr="00F45AF5">
              <w:rPr>
                <w:rFonts w:ascii="Arial" w:hAnsi="Arial" w:cs="Arial"/>
                <w:szCs w:val="20"/>
              </w:rPr>
              <w:t>hairman should regularly review and agree with each Director their training and development needs.</w:t>
            </w:r>
            <w:bookmarkEnd w:id="65"/>
            <w:bookmarkEnd w:id="66"/>
            <w:r w:rsidRPr="00F45AF5">
              <w:rPr>
                <w:rFonts w:ascii="Arial" w:hAnsi="Arial" w:cs="Arial"/>
                <w:szCs w:val="20"/>
              </w:rPr>
              <w:t xml:space="preserve">  </w:t>
            </w:r>
          </w:p>
        </w:tc>
        <w:tc>
          <w:tcPr>
            <w:tcW w:w="2090" w:type="dxa"/>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CB4EA7">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1D1B5B">
            <w:pPr>
              <w:spacing w:after="0" w:line="240" w:lineRule="auto"/>
              <w:rPr>
                <w:rFonts w:ascii="Arial" w:hAnsi="Arial" w:eastAsia="Times New Roman" w:cs="Arial"/>
                <w:szCs w:val="20"/>
                <w:lang w:val="en-US"/>
              </w:rPr>
            </w:pPr>
          </w:p>
        </w:tc>
        <w:tc>
          <w:tcPr>
            <w:tcW w:w="4441" w:type="dxa"/>
            <w:tcBorders>
              <w:left w:val="nil"/>
            </w:tcBorders>
            <w:tcMar>
              <w:top w:w="57" w:type="dxa"/>
            </w:tcMar>
          </w:tcPr>
          <w:p w:rsidRPr="00F45AF5" w:rsidR="001D1B5B" w:rsidP="00C2006C" w:rsidRDefault="00A676BF">
            <w:pPr>
              <w:spacing w:after="0" w:line="240" w:lineRule="auto"/>
              <w:jc w:val="both"/>
              <w:rPr>
                <w:rFonts w:ascii="Arial" w:hAnsi="Arial" w:eastAsia="Times New Roman" w:cs="Arial"/>
                <w:szCs w:val="20"/>
                <w:lang w:val="en-US"/>
              </w:rPr>
            </w:pPr>
            <w:r>
              <w:rPr>
                <w:rFonts w:ascii="Arial" w:hAnsi="Arial" w:cs="Arial"/>
                <w:b/>
                <w:color w:val="CC0000"/>
                <w:szCs w:val="20"/>
              </w:rPr>
              <w:t>Executive and non-executive D</w:t>
            </w:r>
            <w:r w:rsidRPr="00F45AF5" w:rsidR="00A91CE0">
              <w:rPr>
                <w:rFonts w:ascii="Arial" w:hAnsi="Arial" w:cs="Arial"/>
                <w:b/>
                <w:color w:val="CC0000"/>
                <w:szCs w:val="20"/>
              </w:rPr>
              <w:t xml:space="preserve">irectors </w:t>
            </w:r>
          </w:p>
        </w:tc>
        <w:tc>
          <w:tcPr>
            <w:tcW w:w="2090" w:type="dxa"/>
            <w:tcMar>
              <w:top w:w="57" w:type="dxa"/>
            </w:tcMar>
          </w:tcPr>
          <w:p w:rsidRPr="00F45AF5" w:rsidR="001D1B5B" w:rsidP="001D1B5B" w:rsidRDefault="001D1B5B">
            <w:pPr>
              <w:spacing w:after="0" w:line="240" w:lineRule="auto"/>
              <w:rPr>
                <w:rFonts w:ascii="Arial" w:hAnsi="Arial" w:eastAsia="Times New Roman" w:cs="Arial"/>
                <w:szCs w:val="20"/>
                <w:lang w:eastAsia="en-GB"/>
              </w:rPr>
            </w:pPr>
          </w:p>
        </w:tc>
        <w:tc>
          <w:tcPr>
            <w:tcW w:w="2031" w:type="dxa"/>
            <w:tcMar>
              <w:top w:w="57" w:type="dxa"/>
            </w:tcMar>
          </w:tcPr>
          <w:p w:rsidRPr="00F45AF5" w:rsidR="001D1B5B" w:rsidP="001D1B5B" w:rsidRDefault="001D1B5B">
            <w:pPr>
              <w:spacing w:after="0" w:line="240" w:lineRule="auto"/>
              <w:rPr>
                <w:rFonts w:ascii="Arial" w:hAnsi="Arial" w:eastAsia="Times New Roman" w:cs="Arial"/>
                <w:szCs w:val="20"/>
                <w:lang w:eastAsia="en-GB"/>
              </w:rPr>
            </w:pP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30.</w:t>
            </w:r>
          </w:p>
        </w:tc>
        <w:tc>
          <w:tcPr>
            <w:tcW w:w="4441" w:type="dxa"/>
            <w:tcBorders>
              <w:left w:val="nil"/>
            </w:tcBorders>
            <w:tcMar>
              <w:top w:w="57" w:type="dxa"/>
            </w:tcMar>
          </w:tcPr>
          <w:p w:rsidRPr="00F45AF5" w:rsidR="001D1B5B" w:rsidP="00C2006C" w:rsidRDefault="003417D2">
            <w:pPr>
              <w:spacing w:after="0" w:line="240" w:lineRule="auto"/>
              <w:jc w:val="both"/>
              <w:rPr>
                <w:rFonts w:ascii="Arial" w:hAnsi="Arial" w:eastAsia="Times New Roman" w:cs="Arial"/>
                <w:szCs w:val="20"/>
                <w:lang w:val="en-US"/>
              </w:rPr>
            </w:pPr>
            <w:bookmarkStart w:name="_Toc287275454" w:id="67"/>
            <w:bookmarkStart w:name="_Toc287508797" w:id="68"/>
            <w:r w:rsidRPr="00F45AF5">
              <w:rPr>
                <w:rFonts w:ascii="Arial" w:hAnsi="Arial" w:cs="Arial"/>
                <w:szCs w:val="20"/>
              </w:rPr>
              <w:t>The Board should include a balance of executive and non-executive Directors (including independent non-executive Directors).  No individual or small group of individuals should be able to dominate the Board’s decision making.  At least one third of the Board should comprise non-executive Directors, of which at least two non-executive Directors should be independent.</w:t>
            </w:r>
            <w:bookmarkEnd w:id="67"/>
            <w:bookmarkEnd w:id="68"/>
          </w:p>
        </w:tc>
        <w:tc>
          <w:tcPr>
            <w:tcW w:w="2090"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lastRenderedPageBreak/>
              <w:t>31.</w:t>
            </w:r>
          </w:p>
        </w:tc>
        <w:tc>
          <w:tcPr>
            <w:tcW w:w="4441" w:type="dxa"/>
            <w:tcBorders>
              <w:left w:val="nil"/>
            </w:tcBorders>
            <w:tcMar>
              <w:top w:w="57" w:type="dxa"/>
            </w:tcMar>
          </w:tcPr>
          <w:p w:rsidRPr="00F45AF5" w:rsidR="003417D2" w:rsidP="00C2006C" w:rsidRDefault="003417D2">
            <w:pPr>
              <w:spacing w:after="0" w:line="240" w:lineRule="auto"/>
              <w:jc w:val="both"/>
              <w:rPr>
                <w:rFonts w:ascii="Arial" w:hAnsi="Arial" w:cs="Arial"/>
                <w:szCs w:val="20"/>
              </w:rPr>
            </w:pPr>
            <w:bookmarkStart w:name="_Toc287275455" w:id="69"/>
            <w:bookmarkStart w:name="_Toc287508798" w:id="70"/>
            <w:r w:rsidRPr="00F45AF5">
              <w:rPr>
                <w:rFonts w:ascii="Arial" w:hAnsi="Arial" w:cs="Arial"/>
                <w:szCs w:val="20"/>
              </w:rPr>
              <w:t>The Board should consider a non-executive Director to be “independent” if that Director meets, upon an assessment, objective criteria of independence set by the Board.  Such independence criteria should encompass independence in character and judgement of the individual by having no commercial or other relationships or circumstances which are likely to affect or could appear to impair his judgement in a manner other than in the best interests of the Reporting Entity.  In making the assessment of independence against such criteria, the Board should consider matters such as whether the person:</w:t>
            </w:r>
            <w:bookmarkEnd w:id="69"/>
            <w:bookmarkEnd w:id="70"/>
            <w:r w:rsidRPr="00F45AF5">
              <w:rPr>
                <w:rFonts w:ascii="Arial" w:hAnsi="Arial" w:cs="Arial"/>
                <w:szCs w:val="20"/>
              </w:rPr>
              <w:t xml:space="preserve"> </w:t>
            </w:r>
          </w:p>
          <w:p w:rsidRPr="00F45AF5" w:rsidR="003417D2" w:rsidP="00C2006C" w:rsidRDefault="003417D2">
            <w:pPr>
              <w:spacing w:after="0" w:line="240" w:lineRule="auto"/>
              <w:jc w:val="both"/>
              <w:rPr>
                <w:rFonts w:ascii="Arial" w:hAnsi="Arial" w:cs="Arial"/>
                <w:szCs w:val="20"/>
              </w:rPr>
            </w:pPr>
            <w:bookmarkStart w:name="_Toc287275456" w:id="71"/>
            <w:bookmarkStart w:name="_Toc287508799" w:id="72"/>
            <w:r w:rsidRPr="00F45AF5">
              <w:rPr>
                <w:rFonts w:ascii="Arial" w:hAnsi="Arial" w:cs="Arial"/>
                <w:szCs w:val="20"/>
              </w:rPr>
              <w:t>a)  has already served as a member of the Board for a significant period;</w:t>
            </w:r>
            <w:bookmarkEnd w:id="71"/>
            <w:bookmarkEnd w:id="72"/>
          </w:p>
          <w:p w:rsidRPr="00F45AF5" w:rsidR="003417D2" w:rsidP="00C2006C" w:rsidRDefault="003417D2">
            <w:pPr>
              <w:spacing w:after="0" w:line="240" w:lineRule="auto"/>
              <w:jc w:val="both"/>
              <w:rPr>
                <w:rFonts w:ascii="Arial" w:hAnsi="Arial" w:cs="Arial"/>
                <w:szCs w:val="20"/>
              </w:rPr>
            </w:pPr>
            <w:bookmarkStart w:name="_Toc287275457" w:id="73"/>
            <w:bookmarkStart w:name="_Toc287508800" w:id="74"/>
            <w:r w:rsidRPr="00F45AF5">
              <w:rPr>
                <w:rFonts w:ascii="Arial" w:hAnsi="Arial" w:cs="Arial"/>
                <w:szCs w:val="20"/>
              </w:rPr>
              <w:t xml:space="preserve">b)  has been an Employee of the Reporting Entity or a member of the Group within the last </w:t>
            </w:r>
            <w:r w:rsidR="00A676BF">
              <w:rPr>
                <w:rFonts w:ascii="Arial" w:hAnsi="Arial" w:cs="Arial"/>
                <w:szCs w:val="20"/>
              </w:rPr>
              <w:t>5</w:t>
            </w:r>
            <w:r w:rsidRPr="00F45AF5">
              <w:rPr>
                <w:rFonts w:ascii="Arial" w:hAnsi="Arial" w:cs="Arial"/>
                <w:szCs w:val="20"/>
              </w:rPr>
              <w:t xml:space="preserve"> years;</w:t>
            </w:r>
            <w:bookmarkEnd w:id="73"/>
            <w:bookmarkEnd w:id="74"/>
            <w:r w:rsidRPr="00F45AF5">
              <w:rPr>
                <w:rFonts w:ascii="Arial" w:hAnsi="Arial" w:cs="Arial"/>
                <w:szCs w:val="20"/>
              </w:rPr>
              <w:t xml:space="preserve"> </w:t>
            </w:r>
          </w:p>
          <w:p w:rsidRPr="00F45AF5" w:rsidR="003417D2" w:rsidP="00C2006C" w:rsidRDefault="003417D2">
            <w:pPr>
              <w:spacing w:after="0" w:line="240" w:lineRule="auto"/>
              <w:jc w:val="both"/>
              <w:rPr>
                <w:rFonts w:ascii="Arial" w:hAnsi="Arial" w:cs="Arial"/>
                <w:szCs w:val="20"/>
              </w:rPr>
            </w:pPr>
            <w:bookmarkStart w:name="_Toc287275458" w:id="75"/>
            <w:bookmarkStart w:name="_Toc287508801" w:id="76"/>
            <w:r w:rsidRPr="00F45AF5">
              <w:rPr>
                <w:rFonts w:ascii="Arial" w:hAnsi="Arial" w:cs="Arial"/>
                <w:szCs w:val="20"/>
              </w:rPr>
              <w:t>c)  has o</w:t>
            </w:r>
            <w:r w:rsidR="00A676BF">
              <w:rPr>
                <w:rFonts w:ascii="Arial" w:hAnsi="Arial" w:cs="Arial"/>
                <w:szCs w:val="20"/>
              </w:rPr>
              <w:t>r has had, within the last 3</w:t>
            </w:r>
            <w:r w:rsidRPr="00F45AF5">
              <w:rPr>
                <w:rFonts w:ascii="Arial" w:hAnsi="Arial" w:cs="Arial"/>
                <w:szCs w:val="20"/>
              </w:rPr>
              <w:t xml:space="preserve"> years, a material business relationship with the Reporting Entity, either directly or as a partner, shareholder, Director or senior Employee of another  body that has such a relationship with the Reporting Entity;</w:t>
            </w:r>
            <w:bookmarkEnd w:id="75"/>
            <w:bookmarkEnd w:id="76"/>
            <w:r w:rsidRPr="00F45AF5">
              <w:rPr>
                <w:rFonts w:ascii="Arial" w:hAnsi="Arial" w:cs="Arial"/>
                <w:szCs w:val="20"/>
              </w:rPr>
              <w:t xml:space="preserve"> </w:t>
            </w:r>
          </w:p>
          <w:p w:rsidRPr="00F45AF5" w:rsidR="003417D2" w:rsidP="00C2006C" w:rsidRDefault="003417D2">
            <w:pPr>
              <w:spacing w:after="0" w:line="240" w:lineRule="auto"/>
              <w:jc w:val="both"/>
              <w:rPr>
                <w:rFonts w:ascii="Arial" w:hAnsi="Arial" w:cs="Arial"/>
                <w:szCs w:val="20"/>
              </w:rPr>
            </w:pPr>
            <w:bookmarkStart w:name="_Toc287275459" w:id="77"/>
            <w:bookmarkStart w:name="_Toc287508802" w:id="78"/>
            <w:r w:rsidRPr="00F45AF5">
              <w:rPr>
                <w:rFonts w:ascii="Arial" w:hAnsi="Arial" w:cs="Arial"/>
                <w:szCs w:val="20"/>
              </w:rPr>
              <w:t xml:space="preserve">d)  receives or has received, in the last </w:t>
            </w:r>
            <w:r w:rsidR="00A676BF">
              <w:rPr>
                <w:rFonts w:ascii="Arial" w:hAnsi="Arial" w:cs="Arial"/>
                <w:szCs w:val="20"/>
              </w:rPr>
              <w:t xml:space="preserve">3 </w:t>
            </w:r>
            <w:r w:rsidRPr="00F45AF5">
              <w:rPr>
                <w:rFonts w:ascii="Arial" w:hAnsi="Arial" w:cs="Arial"/>
                <w:szCs w:val="20"/>
              </w:rPr>
              <w:t>years additional remuneration or payments from the Reporting Entity apart from a Director’s fee, or participates in the Reporting Entity’s share option, or a performance-related pay scheme, or is a member of the Reporting Entity’s pension scheme;</w:t>
            </w:r>
            <w:bookmarkEnd w:id="77"/>
            <w:bookmarkEnd w:id="78"/>
            <w:r w:rsidRPr="00F45AF5">
              <w:rPr>
                <w:rFonts w:ascii="Arial" w:hAnsi="Arial" w:cs="Arial"/>
                <w:szCs w:val="20"/>
              </w:rPr>
              <w:t xml:space="preserve"> </w:t>
            </w:r>
          </w:p>
          <w:p w:rsidRPr="00F45AF5" w:rsidR="003417D2" w:rsidP="00C2006C" w:rsidRDefault="003417D2">
            <w:pPr>
              <w:spacing w:after="0" w:line="240" w:lineRule="auto"/>
              <w:jc w:val="both"/>
              <w:rPr>
                <w:rFonts w:ascii="Arial" w:hAnsi="Arial" w:cs="Arial"/>
                <w:szCs w:val="20"/>
              </w:rPr>
            </w:pPr>
            <w:bookmarkStart w:name="_Toc287275460" w:id="79"/>
            <w:bookmarkStart w:name="_Toc287508803" w:id="80"/>
            <w:r w:rsidRPr="00F45AF5">
              <w:rPr>
                <w:rFonts w:ascii="Arial" w:hAnsi="Arial" w:cs="Arial"/>
                <w:szCs w:val="20"/>
              </w:rPr>
              <w:t>e)  is or h</w:t>
            </w:r>
            <w:r w:rsidR="00A676BF">
              <w:rPr>
                <w:rFonts w:ascii="Arial" w:hAnsi="Arial" w:cs="Arial"/>
                <w:szCs w:val="20"/>
              </w:rPr>
              <w:t>as been a Director, partner or E</w:t>
            </w:r>
            <w:r w:rsidRPr="00F45AF5">
              <w:rPr>
                <w:rFonts w:ascii="Arial" w:hAnsi="Arial" w:cs="Arial"/>
                <w:szCs w:val="20"/>
              </w:rPr>
              <w:t>mployee of a firm which is the Reporting Entity’s external auditor;</w:t>
            </w:r>
            <w:bookmarkEnd w:id="79"/>
            <w:bookmarkEnd w:id="80"/>
          </w:p>
          <w:p w:rsidRPr="00F45AF5" w:rsidR="003417D2" w:rsidP="00C2006C" w:rsidRDefault="003417D2">
            <w:pPr>
              <w:spacing w:after="0" w:line="240" w:lineRule="auto"/>
              <w:jc w:val="both"/>
              <w:rPr>
                <w:rFonts w:ascii="Arial" w:hAnsi="Arial" w:cs="Arial"/>
                <w:szCs w:val="20"/>
              </w:rPr>
            </w:pPr>
            <w:bookmarkStart w:name="_Toc287275461" w:id="81"/>
            <w:bookmarkStart w:name="_Toc287508804" w:id="82"/>
            <w:r w:rsidRPr="00F45AF5">
              <w:rPr>
                <w:rFonts w:ascii="Arial" w:hAnsi="Arial" w:cs="Arial"/>
                <w:szCs w:val="20"/>
              </w:rPr>
              <w:t>f)  has close family ties with any of the Reporting Entity’s advisors, Directors or senior Employees;</w:t>
            </w:r>
            <w:bookmarkEnd w:id="81"/>
            <w:bookmarkEnd w:id="82"/>
          </w:p>
          <w:p w:rsidRPr="00F45AF5" w:rsidR="003417D2" w:rsidP="00C2006C" w:rsidRDefault="003417D2">
            <w:pPr>
              <w:spacing w:after="0" w:line="240" w:lineRule="auto"/>
              <w:jc w:val="both"/>
              <w:rPr>
                <w:rFonts w:ascii="Arial" w:hAnsi="Arial" w:cs="Arial"/>
                <w:szCs w:val="20"/>
              </w:rPr>
            </w:pPr>
            <w:bookmarkStart w:name="_Toc287275462" w:id="83"/>
            <w:bookmarkStart w:name="_Toc287508805" w:id="84"/>
            <w:r w:rsidRPr="00F45AF5">
              <w:rPr>
                <w:rFonts w:ascii="Arial" w:hAnsi="Arial" w:cs="Arial"/>
                <w:szCs w:val="20"/>
              </w:rPr>
              <w:t>g)  holds cross Directorships or has significant links with other Directors through involvement in other companies or bodies; or</w:t>
            </w:r>
            <w:bookmarkEnd w:id="83"/>
            <w:bookmarkEnd w:id="84"/>
          </w:p>
          <w:p w:rsidRPr="00F45AF5" w:rsidR="001D1B5B" w:rsidP="00C2006C" w:rsidRDefault="003417D2">
            <w:pPr>
              <w:spacing w:after="0" w:line="240" w:lineRule="auto"/>
              <w:jc w:val="both"/>
              <w:rPr>
                <w:rFonts w:ascii="Arial" w:hAnsi="Arial" w:eastAsia="Times New Roman" w:cs="Arial"/>
                <w:szCs w:val="20"/>
                <w:lang w:val="en-US"/>
              </w:rPr>
            </w:pPr>
            <w:r w:rsidRPr="00F45AF5">
              <w:rPr>
                <w:rFonts w:ascii="Arial" w:hAnsi="Arial" w:cs="Arial"/>
                <w:szCs w:val="20"/>
              </w:rPr>
              <w:t>h)  represents a significant shareholder.</w:t>
            </w:r>
          </w:p>
        </w:tc>
        <w:tc>
          <w:tcPr>
            <w:tcW w:w="2090"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lastRenderedPageBreak/>
              <w:t>32.</w:t>
            </w:r>
          </w:p>
        </w:tc>
        <w:tc>
          <w:tcPr>
            <w:tcW w:w="4441" w:type="dxa"/>
            <w:tcBorders>
              <w:left w:val="nil"/>
            </w:tcBorders>
            <w:tcMar>
              <w:top w:w="57" w:type="dxa"/>
            </w:tcMar>
          </w:tcPr>
          <w:p w:rsidRPr="00F45AF5" w:rsidR="001D1B5B" w:rsidP="00C2006C" w:rsidRDefault="003417D2">
            <w:pPr>
              <w:spacing w:after="0" w:line="240" w:lineRule="auto"/>
              <w:jc w:val="both"/>
              <w:rPr>
                <w:rFonts w:ascii="Arial" w:hAnsi="Arial" w:eastAsia="Times New Roman" w:cs="Arial"/>
                <w:szCs w:val="20"/>
                <w:lang w:val="en-US"/>
              </w:rPr>
            </w:pPr>
            <w:bookmarkStart w:name="_Toc287275464" w:id="85"/>
            <w:bookmarkStart w:name="_Toc287508807" w:id="86"/>
            <w:r w:rsidRPr="00F45AF5">
              <w:rPr>
                <w:rFonts w:ascii="Arial" w:hAnsi="Arial" w:cs="Arial"/>
                <w:szCs w:val="20"/>
              </w:rPr>
              <w:t>The terms and conditions of appointment of non-executive Directors should be made available for inspection by any person at the Reporting Entity’s registered office during normal business hours.  The letter of appointment should set out the expected time commitment.  Non-executive Directors should undertake that they will have sufficient time to meet what is expected of them.  Their other significant commitments should be disclosed to the Board before appointment, with a broad indication of the time involved.  The Board should be informed of subsequent changes.</w:t>
            </w:r>
            <w:bookmarkEnd w:id="85"/>
            <w:bookmarkEnd w:id="86"/>
          </w:p>
        </w:tc>
        <w:tc>
          <w:tcPr>
            <w:tcW w:w="2090"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A91CE0">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33.</w:t>
            </w:r>
          </w:p>
        </w:tc>
        <w:tc>
          <w:tcPr>
            <w:tcW w:w="4441" w:type="dxa"/>
            <w:tcBorders>
              <w:left w:val="nil"/>
            </w:tcBorders>
            <w:tcMar>
              <w:top w:w="57" w:type="dxa"/>
            </w:tcMar>
          </w:tcPr>
          <w:p w:rsidRPr="00F45AF5" w:rsidR="001D1B5B" w:rsidP="00C2006C" w:rsidRDefault="003417D2">
            <w:pPr>
              <w:spacing w:after="0" w:line="240" w:lineRule="auto"/>
              <w:jc w:val="both"/>
              <w:rPr>
                <w:rFonts w:ascii="Arial" w:hAnsi="Arial" w:eastAsia="Times New Roman" w:cs="Arial"/>
                <w:szCs w:val="20"/>
                <w:lang w:val="en-US"/>
              </w:rPr>
            </w:pPr>
            <w:bookmarkStart w:name="_Toc287275465" w:id="87"/>
            <w:bookmarkStart w:name="_Toc287508808" w:id="88"/>
            <w:r w:rsidRPr="00F45AF5">
              <w:rPr>
                <w:rFonts w:ascii="Arial" w:hAnsi="Arial" w:cs="Arial"/>
                <w:szCs w:val="20"/>
              </w:rPr>
              <w:t>The annual report of the Reporting Entity should identify each non-executive Director it considers to be independent, the senior</w:t>
            </w:r>
            <w:r w:rsidR="00A676BF">
              <w:rPr>
                <w:rFonts w:ascii="Arial" w:hAnsi="Arial" w:cs="Arial"/>
                <w:szCs w:val="20"/>
              </w:rPr>
              <w:t xml:space="preserve"> independent Director, and the C</w:t>
            </w:r>
            <w:r w:rsidRPr="00F45AF5">
              <w:rPr>
                <w:rFonts w:ascii="Arial" w:hAnsi="Arial" w:cs="Arial"/>
                <w:szCs w:val="20"/>
              </w:rPr>
              <w:t>hairman and members of each of the Board committees.  It should also state the relevant skills and expertise which each Director brings to the Board and set out the number of meetings of each of the committees and individual attendance by Directors.</w:t>
            </w:r>
            <w:bookmarkEnd w:id="87"/>
            <w:bookmarkEnd w:id="88"/>
          </w:p>
        </w:tc>
        <w:tc>
          <w:tcPr>
            <w:tcW w:w="2090"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350207">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34.</w:t>
            </w:r>
          </w:p>
        </w:tc>
        <w:tc>
          <w:tcPr>
            <w:tcW w:w="4441" w:type="dxa"/>
            <w:tcBorders>
              <w:left w:val="nil"/>
            </w:tcBorders>
            <w:tcMar>
              <w:top w:w="57" w:type="dxa"/>
            </w:tcMar>
          </w:tcPr>
          <w:p w:rsidRPr="00F45AF5" w:rsidR="001D1B5B" w:rsidP="00C2006C" w:rsidRDefault="003417D2">
            <w:pPr>
              <w:spacing w:after="0" w:line="240" w:lineRule="auto"/>
              <w:jc w:val="both"/>
              <w:rPr>
                <w:rFonts w:ascii="Arial" w:hAnsi="Arial" w:eastAsia="Times New Roman" w:cs="Arial"/>
                <w:szCs w:val="20"/>
                <w:lang w:val="en-US"/>
              </w:rPr>
            </w:pPr>
            <w:bookmarkStart w:name="_Toc287275466" w:id="89"/>
            <w:bookmarkStart w:name="_Toc287508809" w:id="90"/>
            <w:r w:rsidRPr="00F45AF5">
              <w:rPr>
                <w:rFonts w:ascii="Arial" w:hAnsi="Arial" w:cs="Arial"/>
                <w:szCs w:val="20"/>
              </w:rPr>
              <w:t>As part of their role as members of the Board, non-executive Directors should constructively challenge and help develop proposals on business objectives and strategy for achieving those objectives.  Non-executive Directors should scrutinise the performance of Senior Management against agreed goals and objectives and monitor the reporting of their performance.</w:t>
            </w:r>
            <w:bookmarkEnd w:id="89"/>
            <w:bookmarkEnd w:id="90"/>
            <w:r w:rsidRPr="00F45AF5">
              <w:rPr>
                <w:rFonts w:ascii="Arial" w:hAnsi="Arial" w:cs="Arial"/>
                <w:szCs w:val="20"/>
              </w:rPr>
              <w:t xml:space="preserve"> </w:t>
            </w:r>
          </w:p>
        </w:tc>
        <w:tc>
          <w:tcPr>
            <w:tcW w:w="2090"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1D1B5B">
            <w:pPr>
              <w:spacing w:after="0" w:line="240" w:lineRule="auto"/>
              <w:rPr>
                <w:rFonts w:ascii="Arial" w:hAnsi="Arial" w:eastAsia="Times New Roman" w:cs="Arial"/>
                <w:szCs w:val="20"/>
                <w:lang w:val="en-US"/>
              </w:rPr>
            </w:pPr>
          </w:p>
        </w:tc>
        <w:tc>
          <w:tcPr>
            <w:tcW w:w="4441" w:type="dxa"/>
            <w:tcBorders>
              <w:left w:val="nil"/>
            </w:tcBorders>
            <w:tcMar>
              <w:top w:w="57" w:type="dxa"/>
            </w:tcMar>
          </w:tcPr>
          <w:p w:rsidRPr="00F45AF5" w:rsidR="001D1B5B" w:rsidP="00C2006C" w:rsidRDefault="003417D2">
            <w:pPr>
              <w:spacing w:after="0" w:line="240" w:lineRule="auto"/>
              <w:jc w:val="both"/>
              <w:rPr>
                <w:rFonts w:ascii="Arial" w:hAnsi="Arial" w:eastAsia="Times New Roman" w:cs="Arial"/>
                <w:szCs w:val="20"/>
                <w:lang w:val="en-US"/>
              </w:rPr>
            </w:pPr>
            <w:r w:rsidRPr="00F45AF5">
              <w:rPr>
                <w:rFonts w:ascii="Arial" w:hAnsi="Arial" w:cs="Arial"/>
                <w:b/>
                <w:color w:val="CC0000"/>
                <w:szCs w:val="20"/>
              </w:rPr>
              <w:t>Nomination committee</w:t>
            </w:r>
          </w:p>
        </w:tc>
        <w:tc>
          <w:tcPr>
            <w:tcW w:w="2090" w:type="dxa"/>
            <w:tcMar>
              <w:top w:w="57" w:type="dxa"/>
            </w:tcMar>
          </w:tcPr>
          <w:p w:rsidRPr="00F45AF5" w:rsidR="001D1B5B" w:rsidP="001D1B5B" w:rsidRDefault="001D1B5B">
            <w:pPr>
              <w:spacing w:after="0" w:line="240" w:lineRule="auto"/>
              <w:rPr>
                <w:rFonts w:ascii="Arial" w:hAnsi="Arial" w:eastAsia="Times New Roman" w:cs="Arial"/>
                <w:szCs w:val="20"/>
                <w:lang w:eastAsia="en-GB"/>
              </w:rPr>
            </w:pPr>
          </w:p>
        </w:tc>
        <w:tc>
          <w:tcPr>
            <w:tcW w:w="2031" w:type="dxa"/>
            <w:tcMar>
              <w:top w:w="57" w:type="dxa"/>
            </w:tcMar>
          </w:tcPr>
          <w:p w:rsidRPr="00F45AF5" w:rsidR="001D1B5B" w:rsidP="001D1B5B" w:rsidRDefault="001D1B5B">
            <w:pPr>
              <w:spacing w:after="0" w:line="240" w:lineRule="auto"/>
              <w:rPr>
                <w:rFonts w:ascii="Arial" w:hAnsi="Arial" w:eastAsia="Times New Roman" w:cs="Arial"/>
                <w:szCs w:val="20"/>
                <w:lang w:eastAsia="en-GB"/>
              </w:rPr>
            </w:pPr>
          </w:p>
        </w:tc>
      </w:tr>
      <w:tr w:rsidRPr="00F45AF5" w:rsidR="001D1B5B" w:rsidTr="00C03C08">
        <w:trPr>
          <w:cantSplit/>
        </w:trPr>
        <w:tc>
          <w:tcPr>
            <w:tcW w:w="709" w:type="dxa"/>
            <w:tcBorders>
              <w:right w:val="nil"/>
            </w:tcBorders>
            <w:tcMar>
              <w:top w:w="57" w:type="dxa"/>
            </w:tcMar>
          </w:tcPr>
          <w:p w:rsidRPr="00F45AF5" w:rsidR="001D1B5B" w:rsidP="001D1B5B" w:rsidRDefault="003417D2">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35.</w:t>
            </w:r>
          </w:p>
        </w:tc>
        <w:tc>
          <w:tcPr>
            <w:tcW w:w="4441" w:type="dxa"/>
            <w:tcBorders>
              <w:left w:val="nil"/>
            </w:tcBorders>
            <w:tcMar>
              <w:top w:w="57" w:type="dxa"/>
            </w:tcMar>
          </w:tcPr>
          <w:p w:rsidRPr="00F45AF5" w:rsidR="001D1B5B" w:rsidP="00C2006C" w:rsidRDefault="00B83E4F">
            <w:pPr>
              <w:spacing w:after="0" w:line="240" w:lineRule="auto"/>
              <w:jc w:val="both"/>
              <w:rPr>
                <w:rFonts w:ascii="Arial" w:hAnsi="Arial" w:eastAsia="Times New Roman" w:cs="Arial"/>
                <w:szCs w:val="20"/>
                <w:lang w:val="en-US"/>
              </w:rPr>
            </w:pPr>
            <w:bookmarkStart w:name="_Toc287275467" w:id="91"/>
            <w:bookmarkStart w:name="_Toc287508810" w:id="92"/>
            <w:r w:rsidRPr="00F45AF5">
              <w:rPr>
                <w:rFonts w:ascii="Arial" w:hAnsi="Arial" w:cs="Arial"/>
                <w:szCs w:val="20"/>
              </w:rPr>
              <w:t>The Board should establish and maintain a nomination committee to lead the process for appointments and make recommendations to the Board relating to the appointment of Board members and the Senior Management.  A majority of members of the nomination committee should be independent non-executive Directors.  The chairman of the nomination committee should be an independent non-executive Director.</w:t>
            </w:r>
            <w:bookmarkEnd w:id="91"/>
            <w:bookmarkEnd w:id="92"/>
            <w:r w:rsidRPr="00F45AF5">
              <w:rPr>
                <w:rFonts w:ascii="Arial" w:hAnsi="Arial" w:cs="Arial"/>
                <w:szCs w:val="20"/>
              </w:rPr>
              <w:t xml:space="preserve"> </w:t>
            </w:r>
          </w:p>
        </w:tc>
        <w:tc>
          <w:tcPr>
            <w:tcW w:w="2090"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3417D2">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lastRenderedPageBreak/>
              <w:t>36.</w:t>
            </w:r>
          </w:p>
        </w:tc>
        <w:tc>
          <w:tcPr>
            <w:tcW w:w="4441" w:type="dxa"/>
            <w:tcBorders>
              <w:left w:val="nil"/>
            </w:tcBorders>
            <w:tcMar>
              <w:top w:w="57" w:type="dxa"/>
            </w:tcMar>
          </w:tcPr>
          <w:p w:rsidRPr="00F45AF5" w:rsidR="001D1B5B" w:rsidP="00C2006C" w:rsidRDefault="00B83E4F">
            <w:pPr>
              <w:spacing w:after="0" w:line="240" w:lineRule="auto"/>
              <w:jc w:val="both"/>
              <w:rPr>
                <w:rFonts w:ascii="Arial" w:hAnsi="Arial" w:eastAsia="Times New Roman" w:cs="Arial"/>
                <w:szCs w:val="20"/>
                <w:lang w:val="en-US"/>
              </w:rPr>
            </w:pPr>
            <w:bookmarkStart w:name="_Toc287275468" w:id="93"/>
            <w:bookmarkStart w:name="_Toc287508811" w:id="94"/>
            <w:r w:rsidRPr="00F45AF5">
              <w:rPr>
                <w:rFonts w:ascii="Arial" w:hAnsi="Arial" w:cs="Arial"/>
                <w:szCs w:val="20"/>
              </w:rPr>
              <w:t>The mandate, composition and working procedures of the nomination committee should be well defined.  The nomination committee should make available on the website of the Reporting Entity its written terms of reference explaining its role and the authority delegated to it by the Board.</w:t>
            </w:r>
            <w:bookmarkEnd w:id="93"/>
            <w:bookmarkEnd w:id="94"/>
          </w:p>
        </w:tc>
        <w:tc>
          <w:tcPr>
            <w:tcW w:w="2090"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3417D2">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37.</w:t>
            </w:r>
          </w:p>
        </w:tc>
        <w:tc>
          <w:tcPr>
            <w:tcW w:w="4441" w:type="dxa"/>
            <w:tcBorders>
              <w:left w:val="nil"/>
            </w:tcBorders>
            <w:tcMar>
              <w:top w:w="57" w:type="dxa"/>
            </w:tcMar>
          </w:tcPr>
          <w:p w:rsidRPr="00F45AF5" w:rsidR="001D1B5B" w:rsidP="00C2006C" w:rsidRDefault="00B83E4F">
            <w:pPr>
              <w:spacing w:after="0" w:line="240" w:lineRule="auto"/>
              <w:jc w:val="both"/>
              <w:rPr>
                <w:rFonts w:ascii="Arial" w:hAnsi="Arial" w:eastAsia="Times New Roman" w:cs="Arial"/>
                <w:szCs w:val="20"/>
                <w:lang w:val="en-US"/>
              </w:rPr>
            </w:pPr>
            <w:bookmarkStart w:name="_Toc287275469" w:id="95"/>
            <w:bookmarkStart w:name="_Toc287508812" w:id="96"/>
            <w:r w:rsidRPr="00F45AF5">
              <w:rPr>
                <w:rFonts w:ascii="Arial" w:hAnsi="Arial" w:cs="Arial"/>
                <w:szCs w:val="20"/>
              </w:rPr>
              <w:t>The nomination committee should evaluate the balance of skills, knowledge, independence and experience on the Board and, in the light of this evaluation, prepare a description of the role and capabilities required for a particular appointment.</w:t>
            </w:r>
            <w:bookmarkEnd w:id="95"/>
            <w:bookmarkEnd w:id="96"/>
          </w:p>
        </w:tc>
        <w:tc>
          <w:tcPr>
            <w:tcW w:w="2090"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3417D2">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38.</w:t>
            </w:r>
          </w:p>
        </w:tc>
        <w:tc>
          <w:tcPr>
            <w:tcW w:w="4441" w:type="dxa"/>
            <w:tcBorders>
              <w:left w:val="nil"/>
            </w:tcBorders>
            <w:tcMar>
              <w:top w:w="57" w:type="dxa"/>
            </w:tcMar>
          </w:tcPr>
          <w:p w:rsidRPr="00F45AF5" w:rsidR="001D1B5B" w:rsidP="00C2006C" w:rsidRDefault="00B83E4F">
            <w:pPr>
              <w:spacing w:after="0" w:line="240" w:lineRule="auto"/>
              <w:jc w:val="both"/>
              <w:rPr>
                <w:rFonts w:ascii="Arial" w:hAnsi="Arial" w:eastAsia="Times New Roman" w:cs="Arial"/>
                <w:szCs w:val="20"/>
                <w:lang w:val="en-US"/>
              </w:rPr>
            </w:pPr>
            <w:bookmarkStart w:name="_Toc287275470" w:id="97"/>
            <w:bookmarkStart w:name="_Toc287508813" w:id="98"/>
            <w:r w:rsidRPr="00F45AF5">
              <w:rPr>
                <w:rFonts w:ascii="Arial" w:hAnsi="Arial" w:cs="Arial"/>
                <w:szCs w:val="20"/>
              </w:rPr>
              <w:t>A separate section of the annual report of the Reporting Entity should describe the work of the nomination committee, including the process it has used in relation to Board appointments.  An explanation should be given if neither an external consultancy nor an open advertising process has been used in the appointment of the chairman or a non-executive Director of the Board.</w:t>
            </w:r>
            <w:bookmarkEnd w:id="97"/>
            <w:bookmarkEnd w:id="98"/>
          </w:p>
        </w:tc>
        <w:tc>
          <w:tcPr>
            <w:tcW w:w="2090"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1D1B5B">
            <w:pPr>
              <w:spacing w:after="0" w:line="240" w:lineRule="auto"/>
              <w:rPr>
                <w:rFonts w:ascii="Arial" w:hAnsi="Arial" w:eastAsia="Times New Roman" w:cs="Arial"/>
                <w:szCs w:val="20"/>
                <w:lang w:val="en-US"/>
              </w:rPr>
            </w:pPr>
          </w:p>
        </w:tc>
        <w:tc>
          <w:tcPr>
            <w:tcW w:w="4441" w:type="dxa"/>
            <w:tcBorders>
              <w:left w:val="nil"/>
            </w:tcBorders>
            <w:tcMar>
              <w:top w:w="57" w:type="dxa"/>
            </w:tcMar>
          </w:tcPr>
          <w:p w:rsidRPr="00F45AF5" w:rsidR="001D1B5B" w:rsidP="00C2006C" w:rsidRDefault="00B83E4F">
            <w:pPr>
              <w:spacing w:after="0" w:line="240" w:lineRule="auto"/>
              <w:jc w:val="both"/>
              <w:rPr>
                <w:rFonts w:ascii="Arial" w:hAnsi="Arial" w:eastAsia="Times New Roman" w:cs="Arial"/>
                <w:szCs w:val="20"/>
                <w:lang w:val="en-US"/>
              </w:rPr>
            </w:pPr>
            <w:r w:rsidRPr="00F45AF5">
              <w:rPr>
                <w:rFonts w:ascii="Arial" w:hAnsi="Arial" w:cs="Arial"/>
                <w:b/>
                <w:color w:val="CC0000"/>
                <w:szCs w:val="20"/>
              </w:rPr>
              <w:t>Secretary of the reporting entity</w:t>
            </w:r>
          </w:p>
        </w:tc>
        <w:tc>
          <w:tcPr>
            <w:tcW w:w="2090" w:type="dxa"/>
            <w:tcMar>
              <w:top w:w="57" w:type="dxa"/>
            </w:tcMar>
          </w:tcPr>
          <w:p w:rsidRPr="00F45AF5" w:rsidR="001D1B5B" w:rsidP="001D1B5B" w:rsidRDefault="001D1B5B">
            <w:pPr>
              <w:spacing w:after="0" w:line="240" w:lineRule="auto"/>
              <w:rPr>
                <w:rFonts w:ascii="Arial" w:hAnsi="Arial" w:eastAsia="Times New Roman" w:cs="Arial"/>
                <w:szCs w:val="20"/>
                <w:lang w:eastAsia="en-GB"/>
              </w:rPr>
            </w:pPr>
          </w:p>
        </w:tc>
        <w:tc>
          <w:tcPr>
            <w:tcW w:w="2031" w:type="dxa"/>
            <w:tcMar>
              <w:top w:w="57" w:type="dxa"/>
            </w:tcMar>
          </w:tcPr>
          <w:p w:rsidRPr="00F45AF5" w:rsidR="001D1B5B" w:rsidP="001D1B5B" w:rsidRDefault="001D1B5B">
            <w:pPr>
              <w:spacing w:after="0" w:line="240" w:lineRule="auto"/>
              <w:rPr>
                <w:rFonts w:ascii="Arial" w:hAnsi="Arial" w:eastAsia="Times New Roman" w:cs="Arial"/>
                <w:szCs w:val="20"/>
                <w:lang w:eastAsia="en-GB"/>
              </w:rPr>
            </w:pPr>
          </w:p>
        </w:tc>
      </w:tr>
      <w:tr w:rsidRPr="00F45AF5" w:rsidR="001D1B5B" w:rsidTr="00C03C08">
        <w:trPr>
          <w:cantSplit/>
        </w:trPr>
        <w:tc>
          <w:tcPr>
            <w:tcW w:w="709" w:type="dxa"/>
            <w:tcBorders>
              <w:right w:val="nil"/>
            </w:tcBorders>
            <w:tcMar>
              <w:top w:w="57" w:type="dxa"/>
            </w:tcMar>
          </w:tcPr>
          <w:p w:rsidRPr="00F45AF5" w:rsidR="001D1B5B" w:rsidP="001D1B5B" w:rsidRDefault="00B83E4F">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39.</w:t>
            </w:r>
          </w:p>
        </w:tc>
        <w:tc>
          <w:tcPr>
            <w:tcW w:w="4441" w:type="dxa"/>
            <w:tcBorders>
              <w:left w:val="nil"/>
            </w:tcBorders>
            <w:tcMar>
              <w:top w:w="57" w:type="dxa"/>
            </w:tcMar>
          </w:tcPr>
          <w:p w:rsidRPr="00F45AF5" w:rsidR="001D1B5B" w:rsidP="00A676BF" w:rsidRDefault="00B83E4F">
            <w:pPr>
              <w:spacing w:after="0" w:line="240" w:lineRule="auto"/>
              <w:jc w:val="both"/>
              <w:rPr>
                <w:rFonts w:ascii="Arial" w:hAnsi="Arial" w:eastAsia="Times New Roman" w:cs="Arial"/>
                <w:szCs w:val="20"/>
                <w:lang w:val="en-US"/>
              </w:rPr>
            </w:pPr>
            <w:bookmarkStart w:name="_Toc287275471" w:id="99"/>
            <w:bookmarkStart w:name="_Toc287508814" w:id="100"/>
            <w:r w:rsidRPr="00F45AF5">
              <w:rPr>
                <w:rFonts w:ascii="Arial" w:hAnsi="Arial" w:cs="Arial"/>
                <w:szCs w:val="20"/>
              </w:rPr>
              <w:t>The responsibili</w:t>
            </w:r>
            <w:r w:rsidR="00A676BF">
              <w:rPr>
                <w:rFonts w:ascii="Arial" w:hAnsi="Arial" w:cs="Arial"/>
                <w:szCs w:val="20"/>
              </w:rPr>
              <w:t>ties of the Reporting Entity’s S</w:t>
            </w:r>
            <w:r w:rsidRPr="00F45AF5">
              <w:rPr>
                <w:rFonts w:ascii="Arial" w:hAnsi="Arial" w:cs="Arial"/>
                <w:szCs w:val="20"/>
              </w:rPr>
              <w:t xml:space="preserve">ecretary should clearly include, under the direction of the </w:t>
            </w:r>
            <w:r w:rsidR="00A676BF">
              <w:rPr>
                <w:rFonts w:ascii="Arial" w:hAnsi="Arial" w:cs="Arial"/>
                <w:szCs w:val="20"/>
              </w:rPr>
              <w:t>C</w:t>
            </w:r>
            <w:r w:rsidRPr="00F45AF5">
              <w:rPr>
                <w:rFonts w:ascii="Arial" w:hAnsi="Arial" w:cs="Arial"/>
                <w:szCs w:val="20"/>
              </w:rPr>
              <w:t>hairman, ensuring good information flows within the Board and its committees and between Senior Management and non-executive Directors, as well as facilitating induction and assisting with professional development of B</w:t>
            </w:r>
            <w:r w:rsidR="00A676BF">
              <w:rPr>
                <w:rFonts w:ascii="Arial" w:hAnsi="Arial" w:cs="Arial"/>
                <w:szCs w:val="20"/>
              </w:rPr>
              <w:t>oard members as required.  The S</w:t>
            </w:r>
            <w:r w:rsidRPr="00F45AF5">
              <w:rPr>
                <w:rFonts w:ascii="Arial" w:hAnsi="Arial" w:cs="Arial"/>
                <w:szCs w:val="20"/>
              </w:rPr>
              <w:t>ecretary should also be responsible for ensuring that Board procedures are fully complied with, and advising the Board through the chairman on all governance matters.</w:t>
            </w:r>
            <w:bookmarkEnd w:id="99"/>
            <w:bookmarkEnd w:id="100"/>
          </w:p>
        </w:tc>
        <w:tc>
          <w:tcPr>
            <w:tcW w:w="2090"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right w:val="nil"/>
            </w:tcBorders>
            <w:tcMar>
              <w:top w:w="57" w:type="dxa"/>
            </w:tcMar>
          </w:tcPr>
          <w:p w:rsidRPr="00F45AF5" w:rsidR="001D1B5B" w:rsidP="001D1B5B" w:rsidRDefault="00B83E4F">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40.</w:t>
            </w:r>
          </w:p>
        </w:tc>
        <w:tc>
          <w:tcPr>
            <w:tcW w:w="4441" w:type="dxa"/>
            <w:tcBorders>
              <w:left w:val="nil"/>
            </w:tcBorders>
            <w:tcMar>
              <w:top w:w="57" w:type="dxa"/>
            </w:tcMar>
          </w:tcPr>
          <w:p w:rsidRPr="00F45AF5" w:rsidR="001D1B5B" w:rsidP="00C2006C" w:rsidRDefault="00B83E4F">
            <w:pPr>
              <w:spacing w:after="0" w:line="240" w:lineRule="auto"/>
              <w:jc w:val="both"/>
              <w:rPr>
                <w:rFonts w:ascii="Arial" w:hAnsi="Arial" w:eastAsia="Times New Roman" w:cs="Arial"/>
                <w:szCs w:val="20"/>
                <w:lang w:val="en-US"/>
              </w:rPr>
            </w:pPr>
            <w:bookmarkStart w:name="_Toc287275472" w:id="101"/>
            <w:bookmarkStart w:name="_Toc287508815" w:id="102"/>
            <w:r w:rsidRPr="00F45AF5">
              <w:rPr>
                <w:rFonts w:ascii="Arial" w:hAnsi="Arial" w:cs="Arial"/>
                <w:szCs w:val="20"/>
              </w:rPr>
              <w:t>Both the appointment and removal of the secretary of the Reporting Entity should be a matter for the Board as a whole.</w:t>
            </w:r>
            <w:bookmarkEnd w:id="101"/>
            <w:bookmarkEnd w:id="102"/>
          </w:p>
        </w:tc>
        <w:tc>
          <w:tcPr>
            <w:tcW w:w="2090"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bl>
    <w:p w:rsidR="00A676BF" w:rsidRDefault="00A676BF">
      <w:r>
        <w:br w:type="page"/>
      </w:r>
    </w:p>
    <w:tbl>
      <w:tblPr>
        <w:tblW w:w="9271"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709"/>
        <w:gridCol w:w="4441"/>
        <w:gridCol w:w="2090"/>
        <w:gridCol w:w="2031"/>
      </w:tblGrid>
      <w:tr w:rsidRPr="00F45AF5" w:rsidR="001D1B5B" w:rsidTr="00C03C08">
        <w:trPr>
          <w:cantSplit/>
        </w:trPr>
        <w:tc>
          <w:tcPr>
            <w:tcW w:w="709" w:type="dxa"/>
            <w:tcBorders>
              <w:right w:val="nil"/>
            </w:tcBorders>
            <w:tcMar>
              <w:top w:w="57" w:type="dxa"/>
            </w:tcMar>
          </w:tcPr>
          <w:p w:rsidRPr="00F45AF5" w:rsidR="001D1B5B" w:rsidP="001D1B5B" w:rsidRDefault="001D1B5B">
            <w:pPr>
              <w:spacing w:after="0" w:line="240" w:lineRule="auto"/>
              <w:rPr>
                <w:rFonts w:ascii="Arial" w:hAnsi="Arial" w:eastAsia="Times New Roman" w:cs="Arial"/>
                <w:szCs w:val="20"/>
                <w:lang w:val="en-US"/>
              </w:rPr>
            </w:pPr>
          </w:p>
        </w:tc>
        <w:tc>
          <w:tcPr>
            <w:tcW w:w="4441" w:type="dxa"/>
            <w:tcBorders>
              <w:left w:val="nil"/>
            </w:tcBorders>
            <w:tcMar>
              <w:top w:w="57" w:type="dxa"/>
            </w:tcMar>
          </w:tcPr>
          <w:p w:rsidRPr="00F45AF5" w:rsidR="001D1B5B" w:rsidP="00C2006C" w:rsidRDefault="00B83E4F">
            <w:pPr>
              <w:spacing w:after="0" w:line="240" w:lineRule="auto"/>
              <w:jc w:val="both"/>
              <w:rPr>
                <w:rFonts w:ascii="Arial" w:hAnsi="Arial" w:cs="Arial"/>
                <w:b/>
                <w:color w:val="CC0000"/>
                <w:szCs w:val="20"/>
              </w:rPr>
            </w:pPr>
            <w:r w:rsidRPr="00F45AF5">
              <w:rPr>
                <w:rFonts w:ascii="Arial" w:hAnsi="Arial" w:cs="Arial"/>
                <w:b/>
                <w:color w:val="CC0000"/>
                <w:szCs w:val="20"/>
              </w:rPr>
              <w:t>Information and support</w:t>
            </w:r>
          </w:p>
        </w:tc>
        <w:tc>
          <w:tcPr>
            <w:tcW w:w="2090" w:type="dxa"/>
            <w:tcMar>
              <w:top w:w="57" w:type="dxa"/>
            </w:tcMar>
          </w:tcPr>
          <w:p w:rsidRPr="00F45AF5" w:rsidR="001D1B5B" w:rsidP="001D1B5B" w:rsidRDefault="001D1B5B">
            <w:pPr>
              <w:spacing w:after="0" w:line="240" w:lineRule="auto"/>
              <w:rPr>
                <w:rFonts w:ascii="Arial" w:hAnsi="Arial" w:eastAsia="Times New Roman" w:cs="Arial"/>
                <w:szCs w:val="20"/>
                <w:lang w:eastAsia="en-GB"/>
              </w:rPr>
            </w:pPr>
          </w:p>
        </w:tc>
        <w:tc>
          <w:tcPr>
            <w:tcW w:w="2031" w:type="dxa"/>
            <w:tcMar>
              <w:top w:w="57" w:type="dxa"/>
            </w:tcMar>
          </w:tcPr>
          <w:p w:rsidRPr="00F45AF5" w:rsidR="001D1B5B" w:rsidP="001D1B5B" w:rsidRDefault="001D1B5B">
            <w:pPr>
              <w:spacing w:after="0" w:line="240" w:lineRule="auto"/>
              <w:rPr>
                <w:rFonts w:ascii="Arial" w:hAnsi="Arial" w:eastAsia="Times New Roman" w:cs="Arial"/>
                <w:szCs w:val="20"/>
                <w:lang w:eastAsia="en-GB"/>
              </w:rPr>
            </w:pPr>
          </w:p>
        </w:tc>
      </w:tr>
      <w:tr w:rsidRPr="00F45AF5" w:rsidR="001D1B5B" w:rsidTr="00C03C08">
        <w:trPr>
          <w:cantSplit/>
        </w:trPr>
        <w:tc>
          <w:tcPr>
            <w:tcW w:w="709" w:type="dxa"/>
            <w:tcBorders>
              <w:right w:val="nil"/>
            </w:tcBorders>
            <w:tcMar>
              <w:top w:w="57" w:type="dxa"/>
            </w:tcMar>
          </w:tcPr>
          <w:p w:rsidRPr="00F45AF5" w:rsidR="001D1B5B" w:rsidP="001D1B5B" w:rsidRDefault="00B83E4F">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41.</w:t>
            </w:r>
          </w:p>
        </w:tc>
        <w:tc>
          <w:tcPr>
            <w:tcW w:w="4441" w:type="dxa"/>
            <w:tcBorders>
              <w:left w:val="nil"/>
            </w:tcBorders>
            <w:tcMar>
              <w:top w:w="57" w:type="dxa"/>
            </w:tcMar>
          </w:tcPr>
          <w:p w:rsidRPr="00F45AF5" w:rsidR="001D1B5B" w:rsidP="00A676BF" w:rsidRDefault="00B83E4F">
            <w:pPr>
              <w:spacing w:after="0" w:line="240" w:lineRule="auto"/>
              <w:jc w:val="both"/>
              <w:rPr>
                <w:rFonts w:ascii="Arial" w:hAnsi="Arial" w:eastAsia="Times New Roman" w:cs="Arial"/>
                <w:szCs w:val="20"/>
                <w:lang w:val="en-US"/>
              </w:rPr>
            </w:pPr>
            <w:bookmarkStart w:name="_Toc287275473" w:id="103"/>
            <w:bookmarkStart w:name="_Toc287508816" w:id="104"/>
            <w:r w:rsidRPr="00F45AF5">
              <w:rPr>
                <w:rFonts w:ascii="Arial" w:hAnsi="Arial" w:cs="Arial"/>
                <w:szCs w:val="20"/>
              </w:rPr>
              <w:t>All Directors should have access to accurate, timely and clear information relating to the business and affairs of the Reporting Entity to enable them to discharge their duties, taking due account of the roles un</w:t>
            </w:r>
            <w:r w:rsidR="00A676BF">
              <w:rPr>
                <w:rFonts w:ascii="Arial" w:hAnsi="Arial" w:cs="Arial"/>
                <w:szCs w:val="20"/>
              </w:rPr>
              <w:t>dertaken by such members.  The C</w:t>
            </w:r>
            <w:r w:rsidRPr="00F45AF5">
              <w:rPr>
                <w:rFonts w:ascii="Arial" w:hAnsi="Arial" w:cs="Arial"/>
                <w:szCs w:val="20"/>
              </w:rPr>
              <w:t xml:space="preserve">hairman is responsible for ensuring that the Directors receive such information.  Senior Management has an obligation to provide such information, but Directors should seek clarification or amplification where necessary. All Directors should also have access to the advice and services of the </w:t>
            </w:r>
            <w:r w:rsidR="00A676BF">
              <w:rPr>
                <w:rFonts w:ascii="Arial" w:hAnsi="Arial" w:cs="Arial"/>
                <w:szCs w:val="20"/>
              </w:rPr>
              <w:t>S</w:t>
            </w:r>
            <w:r w:rsidRPr="00F45AF5">
              <w:rPr>
                <w:rFonts w:ascii="Arial" w:hAnsi="Arial" w:cs="Arial"/>
                <w:szCs w:val="20"/>
              </w:rPr>
              <w:t>ecretary of the Reporting Entity, as he is responsible to the Board for ensuring compliance with the Board procedures.</w:t>
            </w:r>
            <w:bookmarkEnd w:id="103"/>
            <w:bookmarkEnd w:id="104"/>
            <w:r w:rsidRPr="00F45AF5">
              <w:rPr>
                <w:rFonts w:ascii="Arial" w:hAnsi="Arial" w:cs="Arial"/>
                <w:szCs w:val="20"/>
              </w:rPr>
              <w:t xml:space="preserve">  </w:t>
            </w:r>
          </w:p>
        </w:tc>
        <w:tc>
          <w:tcPr>
            <w:tcW w:w="2090"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Mar>
              <w:top w:w="57" w:type="dxa"/>
            </w:tcMar>
          </w:tcPr>
          <w:p w:rsidRPr="00F45AF5" w:rsidR="001D1B5B" w:rsidP="001D1B5B" w:rsidRDefault="008D5E00">
            <w:pPr>
              <w:spacing w:after="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D1B5B" w:rsidTr="00C03C08">
        <w:trPr>
          <w:cantSplit/>
        </w:trPr>
        <w:tc>
          <w:tcPr>
            <w:tcW w:w="709" w:type="dxa"/>
            <w:tcBorders>
              <w:bottom w:val="single" w:color="auto" w:sz="4" w:space="0"/>
              <w:right w:val="nil"/>
            </w:tcBorders>
            <w:tcMar>
              <w:top w:w="57" w:type="dxa"/>
            </w:tcMar>
          </w:tcPr>
          <w:p w:rsidRPr="00F45AF5" w:rsidR="001D1B5B" w:rsidP="001D1B5B" w:rsidRDefault="00B83E4F">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42.</w:t>
            </w:r>
          </w:p>
        </w:tc>
        <w:tc>
          <w:tcPr>
            <w:tcW w:w="4441" w:type="dxa"/>
            <w:tcBorders>
              <w:left w:val="nil"/>
              <w:bottom w:val="single" w:color="auto" w:sz="4" w:space="0"/>
            </w:tcBorders>
            <w:tcMar>
              <w:top w:w="57" w:type="dxa"/>
            </w:tcMar>
          </w:tcPr>
          <w:p w:rsidRPr="00F45AF5" w:rsidR="001D1B5B" w:rsidP="00C2006C" w:rsidRDefault="00B83E4F">
            <w:pPr>
              <w:spacing w:after="0" w:line="240" w:lineRule="auto"/>
              <w:jc w:val="both"/>
              <w:rPr>
                <w:rFonts w:ascii="Arial" w:hAnsi="Arial" w:eastAsia="Times New Roman" w:cs="Arial"/>
                <w:szCs w:val="20"/>
                <w:lang w:val="en-US"/>
              </w:rPr>
            </w:pPr>
            <w:bookmarkStart w:name="_Toc287275474" w:id="105"/>
            <w:bookmarkStart w:name="_Toc287508817" w:id="106"/>
            <w:r w:rsidRPr="00F45AF5">
              <w:rPr>
                <w:rFonts w:ascii="Arial" w:hAnsi="Arial" w:cs="Arial"/>
                <w:szCs w:val="20"/>
              </w:rPr>
              <w:t>The Board should ensure that Directors, especially non-executive Directors, have access to independent professional advice at the Reporting Entity’s expense where necessary to enable them to discharge their respective roles and responsibilities. Committees of the Board should also be provided with sufficient resources including information to carry out their role and responsibilities effectively.</w:t>
            </w:r>
            <w:bookmarkEnd w:id="105"/>
            <w:bookmarkEnd w:id="106"/>
          </w:p>
        </w:tc>
        <w:tc>
          <w:tcPr>
            <w:tcW w:w="2090" w:type="dxa"/>
            <w:tcBorders>
              <w:bottom w:val="single" w:color="auto" w:sz="4" w:space="0"/>
            </w:tcBorders>
            <w:tcMar>
              <w:top w:w="57" w:type="dxa"/>
            </w:tcMar>
          </w:tcPr>
          <w:p w:rsidRPr="00F45AF5" w:rsidR="001D1B5B" w:rsidP="001D1B5B" w:rsidRDefault="008D5E00">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Borders>
              <w:bottom w:val="single" w:color="auto" w:sz="4" w:space="0"/>
            </w:tcBorders>
            <w:tcMar>
              <w:top w:w="57" w:type="dxa"/>
            </w:tcMar>
          </w:tcPr>
          <w:p w:rsidRPr="00F45AF5" w:rsidR="001D1B5B" w:rsidP="001D1B5B" w:rsidRDefault="008D5E00">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B83E4F" w:rsidTr="00C03C08">
        <w:trPr>
          <w:cantSplit/>
        </w:trPr>
        <w:tc>
          <w:tcPr>
            <w:tcW w:w="709" w:type="dxa"/>
            <w:tcBorders>
              <w:bottom w:val="single" w:color="auto" w:sz="4" w:space="0"/>
              <w:right w:val="nil"/>
            </w:tcBorders>
            <w:tcMar>
              <w:top w:w="57" w:type="dxa"/>
            </w:tcMar>
          </w:tcPr>
          <w:p w:rsidRPr="00F45AF5" w:rsidR="00B83E4F" w:rsidP="001D1B5B" w:rsidRDefault="00B83E4F">
            <w:pPr>
              <w:spacing w:after="0" w:line="240" w:lineRule="auto"/>
              <w:rPr>
                <w:rFonts w:ascii="Arial" w:hAnsi="Arial" w:eastAsia="Times New Roman" w:cs="Arial"/>
                <w:szCs w:val="20"/>
                <w:lang w:val="en-US"/>
              </w:rPr>
            </w:pPr>
          </w:p>
        </w:tc>
        <w:tc>
          <w:tcPr>
            <w:tcW w:w="4441" w:type="dxa"/>
            <w:tcBorders>
              <w:left w:val="nil"/>
              <w:bottom w:val="single" w:color="auto" w:sz="4" w:space="0"/>
            </w:tcBorders>
            <w:tcMar>
              <w:top w:w="57" w:type="dxa"/>
            </w:tcMar>
          </w:tcPr>
          <w:p w:rsidRPr="00F45AF5" w:rsidR="00B83E4F" w:rsidP="00C2006C" w:rsidRDefault="00B83E4F">
            <w:pPr>
              <w:spacing w:after="0" w:line="240" w:lineRule="auto"/>
              <w:jc w:val="both"/>
              <w:rPr>
                <w:rFonts w:ascii="Arial" w:hAnsi="Arial" w:eastAsia="Times New Roman" w:cs="Arial"/>
                <w:szCs w:val="20"/>
                <w:lang w:val="en-US"/>
              </w:rPr>
            </w:pPr>
            <w:r w:rsidRPr="00F45AF5">
              <w:rPr>
                <w:rFonts w:ascii="Arial" w:hAnsi="Arial" w:cs="Arial"/>
                <w:b/>
                <w:color w:val="CC0000"/>
                <w:szCs w:val="20"/>
              </w:rPr>
              <w:t>Performance evaluation</w:t>
            </w:r>
          </w:p>
        </w:tc>
        <w:tc>
          <w:tcPr>
            <w:tcW w:w="2090" w:type="dxa"/>
            <w:tcBorders>
              <w:bottom w:val="single" w:color="auto" w:sz="4" w:space="0"/>
            </w:tcBorders>
            <w:tcMar>
              <w:top w:w="57" w:type="dxa"/>
            </w:tcMar>
          </w:tcPr>
          <w:p w:rsidRPr="00F45AF5" w:rsidR="00B83E4F" w:rsidP="001D1B5B" w:rsidRDefault="00B83E4F">
            <w:pPr>
              <w:spacing w:before="40" w:after="40" w:line="240" w:lineRule="auto"/>
              <w:rPr>
                <w:rFonts w:ascii="Arial" w:hAnsi="Arial" w:eastAsia="Times New Roman" w:cs="Arial"/>
                <w:szCs w:val="20"/>
                <w:lang w:eastAsia="en-GB"/>
              </w:rPr>
            </w:pPr>
          </w:p>
        </w:tc>
        <w:tc>
          <w:tcPr>
            <w:tcW w:w="2031" w:type="dxa"/>
            <w:tcBorders>
              <w:bottom w:val="single" w:color="auto" w:sz="4" w:space="0"/>
            </w:tcBorders>
            <w:tcMar>
              <w:top w:w="57" w:type="dxa"/>
            </w:tcMar>
          </w:tcPr>
          <w:p w:rsidRPr="00F45AF5" w:rsidR="00B83E4F" w:rsidP="001D1B5B" w:rsidRDefault="00B83E4F">
            <w:pPr>
              <w:spacing w:before="40" w:after="40" w:line="240" w:lineRule="auto"/>
              <w:rPr>
                <w:rFonts w:ascii="Arial" w:hAnsi="Arial" w:eastAsia="Times New Roman" w:cs="Arial"/>
                <w:szCs w:val="20"/>
                <w:lang w:eastAsia="en-GB"/>
              </w:rPr>
            </w:pPr>
          </w:p>
        </w:tc>
      </w:tr>
      <w:tr w:rsidRPr="00F45AF5" w:rsidR="00B83E4F" w:rsidTr="00C03C08">
        <w:trPr>
          <w:cantSplit/>
        </w:trPr>
        <w:tc>
          <w:tcPr>
            <w:tcW w:w="709" w:type="dxa"/>
            <w:tcBorders>
              <w:bottom w:val="single" w:color="auto" w:sz="4" w:space="0"/>
              <w:right w:val="nil"/>
            </w:tcBorders>
            <w:tcMar>
              <w:top w:w="57" w:type="dxa"/>
            </w:tcMar>
          </w:tcPr>
          <w:p w:rsidRPr="00F45AF5" w:rsidR="00B83E4F" w:rsidP="001D1B5B" w:rsidRDefault="00B83E4F">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43.</w:t>
            </w:r>
          </w:p>
        </w:tc>
        <w:tc>
          <w:tcPr>
            <w:tcW w:w="4441" w:type="dxa"/>
            <w:tcBorders>
              <w:left w:val="nil"/>
              <w:bottom w:val="single" w:color="auto" w:sz="4" w:space="0"/>
            </w:tcBorders>
            <w:tcMar>
              <w:top w:w="57" w:type="dxa"/>
            </w:tcMar>
          </w:tcPr>
          <w:p w:rsidRPr="00F45AF5" w:rsidR="00B83E4F" w:rsidP="00C2006C" w:rsidRDefault="00B83E4F">
            <w:pPr>
              <w:spacing w:after="0" w:line="240" w:lineRule="auto"/>
              <w:jc w:val="both"/>
              <w:rPr>
                <w:rFonts w:ascii="Arial" w:hAnsi="Arial" w:eastAsia="Times New Roman" w:cs="Arial"/>
                <w:szCs w:val="20"/>
                <w:lang w:val="en-US"/>
              </w:rPr>
            </w:pPr>
            <w:bookmarkStart w:name="_Toc287275475" w:id="107"/>
            <w:bookmarkStart w:name="_Toc287508818" w:id="108"/>
            <w:r w:rsidRPr="00F45AF5">
              <w:rPr>
                <w:rFonts w:ascii="Arial" w:hAnsi="Arial" w:cs="Arial"/>
                <w:szCs w:val="20"/>
              </w:rPr>
              <w:t>The Board should undertake a formal and rigorous evaluation of its own performance and that of its committees and individual Directors at least annually.</w:t>
            </w:r>
            <w:bookmarkEnd w:id="107"/>
            <w:bookmarkEnd w:id="108"/>
            <w:r w:rsidRPr="00F45AF5" w:rsidDel="00DC3F1B">
              <w:rPr>
                <w:rFonts w:ascii="Arial" w:hAnsi="Arial" w:eastAsia="Times New Roman" w:cs="Arial"/>
                <w:szCs w:val="20"/>
                <w:lang w:val="en-US"/>
              </w:rPr>
              <w:t xml:space="preserve"> </w:t>
            </w:r>
          </w:p>
        </w:tc>
        <w:tc>
          <w:tcPr>
            <w:tcW w:w="2090" w:type="dxa"/>
            <w:tcBorders>
              <w:bottom w:val="single" w:color="auto" w:sz="4" w:space="0"/>
            </w:tcBorders>
            <w:tcMar>
              <w:top w:w="57" w:type="dxa"/>
            </w:tcMar>
          </w:tcPr>
          <w:p w:rsidRPr="00F45AF5" w:rsidR="00B83E4F" w:rsidP="001D1B5B" w:rsidRDefault="00B83E4F">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Borders>
              <w:bottom w:val="single" w:color="auto" w:sz="4" w:space="0"/>
            </w:tcBorders>
            <w:tcMar>
              <w:top w:w="57" w:type="dxa"/>
            </w:tcMar>
          </w:tcPr>
          <w:p w:rsidRPr="00F45AF5" w:rsidR="00B83E4F" w:rsidP="001D1B5B" w:rsidRDefault="00B83E4F">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B83E4F" w:rsidTr="00C03C08">
        <w:trPr>
          <w:cantSplit/>
        </w:trPr>
        <w:tc>
          <w:tcPr>
            <w:tcW w:w="709" w:type="dxa"/>
            <w:tcBorders>
              <w:bottom w:val="single" w:color="auto" w:sz="4" w:space="0"/>
              <w:right w:val="nil"/>
            </w:tcBorders>
            <w:tcMar>
              <w:top w:w="57" w:type="dxa"/>
            </w:tcMar>
          </w:tcPr>
          <w:p w:rsidRPr="00F45AF5" w:rsidR="00B83E4F" w:rsidP="001D1B5B" w:rsidRDefault="00B83E4F">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44.</w:t>
            </w:r>
          </w:p>
        </w:tc>
        <w:tc>
          <w:tcPr>
            <w:tcW w:w="4441" w:type="dxa"/>
            <w:tcBorders>
              <w:left w:val="nil"/>
              <w:bottom w:val="single" w:color="auto" w:sz="4" w:space="0"/>
            </w:tcBorders>
            <w:tcMar>
              <w:top w:w="57" w:type="dxa"/>
            </w:tcMar>
          </w:tcPr>
          <w:p w:rsidRPr="00F45AF5" w:rsidR="00B83E4F" w:rsidP="00C2006C" w:rsidRDefault="00B83E4F">
            <w:pPr>
              <w:spacing w:after="0" w:line="240" w:lineRule="auto"/>
              <w:jc w:val="both"/>
              <w:rPr>
                <w:rFonts w:ascii="Arial" w:hAnsi="Arial" w:eastAsia="Times New Roman" w:cs="Arial"/>
                <w:szCs w:val="20"/>
                <w:lang w:val="en-US"/>
              </w:rPr>
            </w:pPr>
            <w:bookmarkStart w:name="_Toc287275476" w:id="109"/>
            <w:bookmarkStart w:name="_Toc287508819" w:id="110"/>
            <w:r w:rsidRPr="00F45AF5">
              <w:rPr>
                <w:rFonts w:ascii="Arial" w:hAnsi="Arial" w:cs="Arial"/>
                <w:szCs w:val="20"/>
              </w:rPr>
              <w:t>The chairman of the Board should act on the results of the performance evaluation by recognising the strengths and addressing the weaknesses of the Board and making any changes to the composition of the Board as required.</w:t>
            </w:r>
            <w:bookmarkEnd w:id="109"/>
            <w:bookmarkEnd w:id="110"/>
            <w:r w:rsidRPr="00F45AF5">
              <w:rPr>
                <w:rFonts w:ascii="Arial" w:hAnsi="Arial" w:cs="Arial"/>
                <w:szCs w:val="20"/>
              </w:rPr>
              <w:t xml:space="preserve">  </w:t>
            </w:r>
          </w:p>
        </w:tc>
        <w:tc>
          <w:tcPr>
            <w:tcW w:w="2090" w:type="dxa"/>
            <w:tcBorders>
              <w:bottom w:val="single" w:color="auto" w:sz="4" w:space="0"/>
            </w:tcBorders>
            <w:tcMar>
              <w:top w:w="57" w:type="dxa"/>
            </w:tcMar>
          </w:tcPr>
          <w:p w:rsidRPr="00F45AF5" w:rsidR="00B83E4F" w:rsidP="001D1B5B" w:rsidRDefault="00B83E4F">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Borders>
              <w:bottom w:val="single" w:color="auto" w:sz="4" w:space="0"/>
            </w:tcBorders>
            <w:tcMar>
              <w:top w:w="57" w:type="dxa"/>
            </w:tcMar>
          </w:tcPr>
          <w:p w:rsidRPr="00F45AF5" w:rsidR="00B83E4F" w:rsidP="001D1B5B" w:rsidRDefault="00B83E4F">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B83E4F" w:rsidTr="00C03C08">
        <w:trPr>
          <w:cantSplit/>
        </w:trPr>
        <w:tc>
          <w:tcPr>
            <w:tcW w:w="709" w:type="dxa"/>
            <w:tcBorders>
              <w:bottom w:val="single" w:color="auto" w:sz="4" w:space="0"/>
              <w:right w:val="nil"/>
            </w:tcBorders>
            <w:tcMar>
              <w:top w:w="57" w:type="dxa"/>
            </w:tcMar>
          </w:tcPr>
          <w:p w:rsidRPr="00F45AF5" w:rsidR="00B83E4F" w:rsidP="001D1B5B" w:rsidRDefault="00B83E4F">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45.</w:t>
            </w:r>
          </w:p>
        </w:tc>
        <w:tc>
          <w:tcPr>
            <w:tcW w:w="4441" w:type="dxa"/>
            <w:tcBorders>
              <w:left w:val="nil"/>
              <w:bottom w:val="single" w:color="auto" w:sz="4" w:space="0"/>
            </w:tcBorders>
            <w:tcMar>
              <w:top w:w="57" w:type="dxa"/>
            </w:tcMar>
          </w:tcPr>
          <w:p w:rsidRPr="00F45AF5" w:rsidR="00B83E4F" w:rsidP="00C2006C" w:rsidRDefault="00B83E4F">
            <w:pPr>
              <w:spacing w:after="0" w:line="240" w:lineRule="auto"/>
              <w:jc w:val="both"/>
              <w:rPr>
                <w:rFonts w:ascii="Arial" w:hAnsi="Arial" w:eastAsia="Times New Roman" w:cs="Arial"/>
                <w:szCs w:val="20"/>
                <w:lang w:val="en-US"/>
              </w:rPr>
            </w:pPr>
            <w:bookmarkStart w:name="_Toc287275477" w:id="111"/>
            <w:bookmarkStart w:name="_Toc287508820" w:id="112"/>
            <w:r w:rsidRPr="00F45AF5">
              <w:rPr>
                <w:rFonts w:ascii="Arial" w:hAnsi="Arial" w:cs="Arial"/>
                <w:szCs w:val="20"/>
              </w:rPr>
              <w:t>The Board should state in the annual report how performance evaluation of the Board, its committees and its individual Directors has been conducted.</w:t>
            </w:r>
            <w:bookmarkEnd w:id="111"/>
            <w:bookmarkEnd w:id="112"/>
          </w:p>
        </w:tc>
        <w:tc>
          <w:tcPr>
            <w:tcW w:w="2090" w:type="dxa"/>
            <w:tcBorders>
              <w:bottom w:val="single" w:color="auto" w:sz="4" w:space="0"/>
            </w:tcBorders>
            <w:tcMar>
              <w:top w:w="57" w:type="dxa"/>
            </w:tcMar>
          </w:tcPr>
          <w:p w:rsidRPr="00F45AF5" w:rsidR="00B83E4F" w:rsidP="001D1B5B" w:rsidRDefault="00B83E4F">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Borders>
              <w:bottom w:val="single" w:color="auto" w:sz="4" w:space="0"/>
            </w:tcBorders>
            <w:tcMar>
              <w:top w:w="57" w:type="dxa"/>
            </w:tcMar>
          </w:tcPr>
          <w:p w:rsidRPr="00F45AF5" w:rsidR="00B83E4F" w:rsidP="001D1B5B" w:rsidRDefault="00B83E4F">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bl>
    <w:p w:rsidR="00A676BF" w:rsidRDefault="00A676BF">
      <w:r>
        <w:br w:type="page"/>
      </w:r>
    </w:p>
    <w:tbl>
      <w:tblPr>
        <w:tblW w:w="9271"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709"/>
        <w:gridCol w:w="4441"/>
        <w:gridCol w:w="2090"/>
        <w:gridCol w:w="2031"/>
      </w:tblGrid>
      <w:tr w:rsidRPr="00F45AF5" w:rsidR="00B83E4F" w:rsidTr="00C03C08">
        <w:trPr>
          <w:cantSplit/>
        </w:trPr>
        <w:tc>
          <w:tcPr>
            <w:tcW w:w="709" w:type="dxa"/>
            <w:tcBorders>
              <w:right w:val="nil"/>
            </w:tcBorders>
            <w:shd w:val="clear" w:color="auto" w:fill="auto"/>
            <w:tcMar>
              <w:top w:w="57" w:type="dxa"/>
            </w:tcMar>
          </w:tcPr>
          <w:p w:rsidRPr="00F45AF5" w:rsidR="00B83E4F" w:rsidP="001D1B5B" w:rsidRDefault="00B83E4F">
            <w:pPr>
              <w:spacing w:after="0" w:line="240" w:lineRule="auto"/>
              <w:rPr>
                <w:rFonts w:ascii="Arial" w:hAnsi="Arial" w:eastAsia="Times New Roman" w:cs="Arial"/>
                <w:szCs w:val="20"/>
                <w:lang w:val="en-US"/>
              </w:rPr>
            </w:pPr>
          </w:p>
        </w:tc>
        <w:tc>
          <w:tcPr>
            <w:tcW w:w="4441" w:type="dxa"/>
            <w:tcBorders>
              <w:left w:val="nil"/>
            </w:tcBorders>
            <w:shd w:val="clear" w:color="auto" w:fill="auto"/>
            <w:tcMar>
              <w:top w:w="57" w:type="dxa"/>
            </w:tcMar>
          </w:tcPr>
          <w:p w:rsidRPr="00F45AF5" w:rsidR="00B83E4F" w:rsidP="00C2006C" w:rsidRDefault="0014638B">
            <w:pPr>
              <w:spacing w:after="0" w:line="240" w:lineRule="auto"/>
              <w:jc w:val="both"/>
              <w:rPr>
                <w:rFonts w:ascii="Arial" w:hAnsi="Arial" w:cs="Arial"/>
                <w:b/>
                <w:color w:val="CC0000"/>
                <w:szCs w:val="20"/>
              </w:rPr>
            </w:pPr>
            <w:r w:rsidRPr="00F45AF5">
              <w:rPr>
                <w:rFonts w:ascii="Arial" w:hAnsi="Arial" w:cs="Arial"/>
                <w:b/>
                <w:color w:val="CC0000"/>
                <w:szCs w:val="20"/>
              </w:rPr>
              <w:t>Principle 4 – Risk management and internal control systems</w:t>
            </w:r>
          </w:p>
        </w:tc>
        <w:tc>
          <w:tcPr>
            <w:tcW w:w="2090" w:type="dxa"/>
            <w:shd w:val="clear" w:color="auto" w:fill="auto"/>
            <w:tcMar>
              <w:top w:w="57" w:type="dxa"/>
            </w:tcMar>
          </w:tcPr>
          <w:p w:rsidRPr="00F45AF5" w:rsidR="00B83E4F" w:rsidP="001D1B5B" w:rsidRDefault="00B83E4F">
            <w:pPr>
              <w:keepNext/>
              <w:spacing w:before="40" w:after="40" w:line="240" w:lineRule="auto"/>
              <w:rPr>
                <w:rFonts w:ascii="Arial" w:hAnsi="Arial" w:eastAsia="Times New Roman" w:cs="Arial"/>
                <w:szCs w:val="20"/>
                <w:lang w:eastAsia="en-GB"/>
              </w:rPr>
            </w:pPr>
          </w:p>
        </w:tc>
        <w:tc>
          <w:tcPr>
            <w:tcW w:w="2031" w:type="dxa"/>
            <w:shd w:val="clear" w:color="auto" w:fill="auto"/>
            <w:tcMar>
              <w:top w:w="57" w:type="dxa"/>
            </w:tcMar>
          </w:tcPr>
          <w:p w:rsidRPr="00F45AF5" w:rsidR="00B83E4F" w:rsidP="001D1B5B" w:rsidRDefault="00B83E4F">
            <w:pPr>
              <w:keepNext/>
              <w:spacing w:before="40" w:after="40" w:line="240" w:lineRule="auto"/>
              <w:rPr>
                <w:rFonts w:ascii="Arial" w:hAnsi="Arial" w:eastAsia="Times New Roman" w:cs="Arial"/>
                <w:szCs w:val="20"/>
                <w:lang w:eastAsia="en-GB"/>
              </w:rPr>
            </w:pPr>
          </w:p>
        </w:tc>
      </w:tr>
      <w:tr w:rsidRPr="00F45AF5" w:rsidR="00B83E4F" w:rsidTr="00C03C08">
        <w:trPr>
          <w:cantSplit/>
        </w:trPr>
        <w:tc>
          <w:tcPr>
            <w:tcW w:w="709" w:type="dxa"/>
            <w:tcBorders>
              <w:right w:val="nil"/>
            </w:tcBorders>
            <w:shd w:val="clear" w:color="auto" w:fill="auto"/>
            <w:tcMar>
              <w:top w:w="57" w:type="dxa"/>
            </w:tcMar>
          </w:tcPr>
          <w:p w:rsidRPr="00F45AF5" w:rsidR="00B83E4F" w:rsidP="001D1B5B" w:rsidRDefault="0014638B">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46.</w:t>
            </w:r>
          </w:p>
        </w:tc>
        <w:tc>
          <w:tcPr>
            <w:tcW w:w="4441" w:type="dxa"/>
            <w:tcBorders>
              <w:left w:val="nil"/>
            </w:tcBorders>
            <w:shd w:val="clear" w:color="auto" w:fill="auto"/>
            <w:tcMar>
              <w:top w:w="57" w:type="dxa"/>
            </w:tcMar>
          </w:tcPr>
          <w:p w:rsidRPr="00F45AF5" w:rsidR="00B83E4F" w:rsidP="00C2006C" w:rsidRDefault="0014638B">
            <w:pPr>
              <w:spacing w:after="0" w:line="240" w:lineRule="auto"/>
              <w:jc w:val="both"/>
              <w:rPr>
                <w:rFonts w:ascii="Arial" w:hAnsi="Arial" w:eastAsia="Times New Roman" w:cs="Arial"/>
                <w:szCs w:val="20"/>
                <w:lang w:val="en-US"/>
              </w:rPr>
            </w:pPr>
            <w:bookmarkStart w:name="_Toc287275478" w:id="113"/>
            <w:bookmarkStart w:name="_Toc287508821" w:id="114"/>
            <w:r w:rsidRPr="00F45AF5">
              <w:rPr>
                <w:rFonts w:ascii="Arial" w:hAnsi="Arial" w:cs="Arial"/>
                <w:szCs w:val="20"/>
              </w:rPr>
              <w:t>The Board should, at least annually, conduct a review of the effectiveness of the Reporting Entity’s risk management, internal control and compliance framework (“systems and controls”) and should report to the shareholders that it has done so.  The review should cover all aspects of material controls, including management, financial, operational and compliance controls and risk management systems.  The Board may satisfy this requirement by instructing an external auditor to undertake the review and report to it on its outcome. They should satisfy themselves on the integrity of financial information and that financial controls and systems of risk management are robust and effective.</w:t>
            </w:r>
            <w:bookmarkEnd w:id="113"/>
            <w:bookmarkEnd w:id="114"/>
          </w:p>
        </w:tc>
        <w:tc>
          <w:tcPr>
            <w:tcW w:w="2090" w:type="dxa"/>
            <w:shd w:val="clear" w:color="auto" w:fill="auto"/>
            <w:tcMar>
              <w:top w:w="57" w:type="dxa"/>
            </w:tcMar>
          </w:tcPr>
          <w:p w:rsidRPr="00F45AF5" w:rsidR="00B83E4F" w:rsidP="001D1B5B" w:rsidRDefault="00B83E4F">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B83E4F" w:rsidP="001D1B5B" w:rsidRDefault="00B83E4F">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B83E4F" w:rsidTr="00C03C08">
        <w:trPr>
          <w:cantSplit/>
        </w:trPr>
        <w:tc>
          <w:tcPr>
            <w:tcW w:w="709" w:type="dxa"/>
            <w:tcBorders>
              <w:right w:val="nil"/>
            </w:tcBorders>
            <w:shd w:val="clear" w:color="auto" w:fill="auto"/>
            <w:tcMar>
              <w:top w:w="57" w:type="dxa"/>
            </w:tcMar>
          </w:tcPr>
          <w:p w:rsidRPr="00F45AF5" w:rsidR="0014638B" w:rsidP="001D1B5B" w:rsidRDefault="0014638B">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47.</w:t>
            </w:r>
          </w:p>
          <w:p w:rsidRPr="00F45AF5" w:rsidR="00B83E4F" w:rsidP="001D1B5B" w:rsidRDefault="00B83E4F">
            <w:pPr>
              <w:spacing w:after="0" w:line="240" w:lineRule="auto"/>
              <w:rPr>
                <w:rFonts w:ascii="Arial" w:hAnsi="Arial" w:eastAsia="Times New Roman" w:cs="Arial"/>
                <w:szCs w:val="20"/>
                <w:lang w:val="en-US"/>
              </w:rPr>
            </w:pPr>
          </w:p>
        </w:tc>
        <w:tc>
          <w:tcPr>
            <w:tcW w:w="4441" w:type="dxa"/>
            <w:tcBorders>
              <w:left w:val="nil"/>
            </w:tcBorders>
            <w:shd w:val="clear" w:color="auto" w:fill="auto"/>
            <w:tcMar>
              <w:top w:w="57" w:type="dxa"/>
            </w:tcMar>
          </w:tcPr>
          <w:p w:rsidRPr="00F45AF5" w:rsidR="00B83E4F" w:rsidP="00C2006C" w:rsidRDefault="0014638B">
            <w:pPr>
              <w:tabs>
                <w:tab w:val="num" w:pos="1080"/>
              </w:tabs>
              <w:spacing w:after="0" w:line="240" w:lineRule="auto"/>
              <w:jc w:val="both"/>
              <w:rPr>
                <w:rFonts w:ascii="Arial" w:hAnsi="Arial" w:eastAsia="Times New Roman" w:cs="Arial"/>
                <w:szCs w:val="20"/>
                <w:lang w:val="en-US"/>
              </w:rPr>
            </w:pPr>
            <w:bookmarkStart w:name="_Toc287275479" w:id="115"/>
            <w:bookmarkStart w:name="_Toc287508822" w:id="116"/>
            <w:r w:rsidRPr="00F45AF5">
              <w:rPr>
                <w:rFonts w:ascii="Arial" w:hAnsi="Arial" w:cs="Arial"/>
                <w:szCs w:val="20"/>
              </w:rPr>
              <w:t>The Board should establish formal and transparent arrangements for considering how it should apply the financial reporting and internal control systems, and for maintaining an appropriate relationship with its auditors.</w:t>
            </w:r>
            <w:bookmarkEnd w:id="115"/>
            <w:bookmarkEnd w:id="116"/>
          </w:p>
        </w:tc>
        <w:tc>
          <w:tcPr>
            <w:tcW w:w="2090" w:type="dxa"/>
            <w:shd w:val="clear" w:color="auto" w:fill="auto"/>
            <w:tcMar>
              <w:top w:w="57" w:type="dxa"/>
            </w:tcMar>
          </w:tcPr>
          <w:p w:rsidRPr="00F45AF5" w:rsidR="00B83E4F" w:rsidP="001D1B5B" w:rsidRDefault="00B83E4F">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B83E4F" w:rsidP="001D1B5B" w:rsidRDefault="00B83E4F">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B83E4F" w:rsidTr="00C03C08">
        <w:trPr>
          <w:cantSplit/>
        </w:trPr>
        <w:tc>
          <w:tcPr>
            <w:tcW w:w="709" w:type="dxa"/>
            <w:tcBorders>
              <w:right w:val="nil"/>
            </w:tcBorders>
            <w:shd w:val="clear" w:color="auto" w:fill="auto"/>
            <w:tcMar>
              <w:top w:w="57" w:type="dxa"/>
            </w:tcMar>
          </w:tcPr>
          <w:p w:rsidRPr="00F45AF5" w:rsidR="0014638B" w:rsidP="001D1B5B" w:rsidRDefault="0014638B">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48.</w:t>
            </w:r>
          </w:p>
          <w:p w:rsidRPr="00F45AF5" w:rsidR="00B83E4F" w:rsidP="001D1B5B" w:rsidRDefault="00B83E4F">
            <w:pPr>
              <w:spacing w:after="0" w:line="240" w:lineRule="auto"/>
              <w:rPr>
                <w:rFonts w:ascii="Arial" w:hAnsi="Arial" w:eastAsia="Times New Roman" w:cs="Arial"/>
                <w:szCs w:val="20"/>
                <w:lang w:val="en-US"/>
              </w:rPr>
            </w:pPr>
          </w:p>
        </w:tc>
        <w:tc>
          <w:tcPr>
            <w:tcW w:w="4441" w:type="dxa"/>
            <w:tcBorders>
              <w:left w:val="nil"/>
            </w:tcBorders>
            <w:shd w:val="clear" w:color="auto" w:fill="auto"/>
            <w:tcMar>
              <w:top w:w="57" w:type="dxa"/>
            </w:tcMar>
          </w:tcPr>
          <w:p w:rsidRPr="00F45AF5" w:rsidR="00B83E4F" w:rsidP="00C2006C" w:rsidRDefault="0014638B">
            <w:pPr>
              <w:tabs>
                <w:tab w:val="num" w:pos="1080"/>
              </w:tabs>
              <w:spacing w:after="0" w:line="240" w:lineRule="auto"/>
              <w:jc w:val="both"/>
              <w:rPr>
                <w:rFonts w:ascii="Arial" w:hAnsi="Arial" w:eastAsia="Times New Roman" w:cs="Arial"/>
                <w:szCs w:val="20"/>
                <w:lang w:val="en-US"/>
              </w:rPr>
            </w:pPr>
            <w:bookmarkStart w:name="_Toc287275480" w:id="117"/>
            <w:bookmarkStart w:name="_Toc287508823" w:id="118"/>
            <w:r w:rsidRPr="00F45AF5">
              <w:rPr>
                <w:rFonts w:ascii="Arial" w:hAnsi="Arial" w:cs="Arial"/>
                <w:szCs w:val="20"/>
              </w:rPr>
              <w:t>The Board should establish policies and procedures for the identification and oversight and management of material business risks and disclose a summary of those policies and procedures in its annual report.  The Board should also ensure that Senior Management implements the requisite risk management and internal control systems to manage material risks.</w:t>
            </w:r>
            <w:bookmarkEnd w:id="117"/>
            <w:bookmarkEnd w:id="118"/>
          </w:p>
        </w:tc>
        <w:tc>
          <w:tcPr>
            <w:tcW w:w="2090" w:type="dxa"/>
            <w:shd w:val="clear" w:color="auto" w:fill="auto"/>
            <w:tcMar>
              <w:top w:w="57" w:type="dxa"/>
            </w:tcMar>
          </w:tcPr>
          <w:p w:rsidRPr="00F45AF5" w:rsidR="00B83E4F" w:rsidP="001D1B5B" w:rsidRDefault="00B83E4F">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B83E4F" w:rsidP="001D1B5B" w:rsidRDefault="00B83E4F">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bl>
    <w:p w:rsidR="00A676BF" w:rsidRDefault="00A676BF">
      <w:r>
        <w:br w:type="page"/>
      </w:r>
    </w:p>
    <w:tbl>
      <w:tblPr>
        <w:tblW w:w="9271"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709"/>
        <w:gridCol w:w="4441"/>
        <w:gridCol w:w="2090"/>
        <w:gridCol w:w="2031"/>
      </w:tblGrid>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14638B">
            <w:pPr>
              <w:spacing w:after="0" w:line="240" w:lineRule="auto"/>
              <w:rPr>
                <w:rFonts w:ascii="Arial" w:hAnsi="Arial" w:eastAsia="Times New Roman" w:cs="Arial"/>
                <w:szCs w:val="20"/>
                <w:lang w:val="en-US"/>
              </w:rPr>
            </w:pPr>
          </w:p>
        </w:tc>
        <w:tc>
          <w:tcPr>
            <w:tcW w:w="4441" w:type="dxa"/>
            <w:tcBorders>
              <w:left w:val="nil"/>
            </w:tcBorders>
            <w:shd w:val="clear" w:color="auto" w:fill="auto"/>
            <w:tcMar>
              <w:top w:w="57" w:type="dxa"/>
            </w:tcMar>
          </w:tcPr>
          <w:p w:rsidRPr="00F45AF5" w:rsidR="0014638B" w:rsidP="00C2006C" w:rsidRDefault="0014638B">
            <w:pPr>
              <w:spacing w:after="0" w:line="240" w:lineRule="auto"/>
              <w:jc w:val="both"/>
              <w:rPr>
                <w:rFonts w:ascii="Arial" w:hAnsi="Arial" w:eastAsia="Times New Roman" w:cs="Arial"/>
                <w:szCs w:val="20"/>
                <w:lang w:val="en-US"/>
              </w:rPr>
            </w:pPr>
            <w:r w:rsidRPr="00F45AF5">
              <w:rPr>
                <w:rFonts w:ascii="Arial" w:hAnsi="Arial" w:cs="Arial"/>
                <w:b/>
                <w:color w:val="CC0000"/>
                <w:szCs w:val="20"/>
              </w:rPr>
              <w:t>Audit committee</w:t>
            </w:r>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14638B">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49.</w:t>
            </w:r>
          </w:p>
        </w:tc>
        <w:tc>
          <w:tcPr>
            <w:tcW w:w="4441" w:type="dxa"/>
            <w:tcBorders>
              <w:left w:val="nil"/>
            </w:tcBorders>
            <w:shd w:val="clear" w:color="auto" w:fill="auto"/>
            <w:tcMar>
              <w:top w:w="57" w:type="dxa"/>
            </w:tcMar>
          </w:tcPr>
          <w:p w:rsidRPr="00F45AF5" w:rsidR="0014638B" w:rsidP="00C2006C" w:rsidRDefault="0014638B">
            <w:pPr>
              <w:spacing w:after="0" w:line="240" w:lineRule="auto"/>
              <w:jc w:val="both"/>
              <w:rPr>
                <w:rFonts w:ascii="Arial" w:hAnsi="Arial" w:cs="Arial"/>
                <w:szCs w:val="20"/>
              </w:rPr>
            </w:pPr>
            <w:bookmarkStart w:name="_Toc287275481" w:id="119"/>
            <w:bookmarkStart w:name="_Toc287508824" w:id="120"/>
            <w:r w:rsidRPr="00F45AF5">
              <w:rPr>
                <w:rFonts w:ascii="Arial" w:hAnsi="Arial" w:cs="Arial"/>
                <w:szCs w:val="20"/>
              </w:rPr>
              <w:t>The Board should establish and maintain an audit committee to monitor and review the Reporting Entity’s internal audit function and other internal controls. The main roles and responsibilities of the audit committee should be set out in written terms of reference, be available on the website of the Reporting Entity and include at least the following:</w:t>
            </w:r>
            <w:bookmarkEnd w:id="119"/>
            <w:bookmarkEnd w:id="120"/>
          </w:p>
          <w:p w:rsidRPr="00F45AF5" w:rsidR="0014638B" w:rsidP="00C2006C" w:rsidRDefault="0014638B">
            <w:pPr>
              <w:spacing w:after="0" w:line="240" w:lineRule="auto"/>
              <w:jc w:val="both"/>
              <w:rPr>
                <w:rFonts w:ascii="Arial" w:hAnsi="Arial" w:cs="Arial"/>
                <w:szCs w:val="20"/>
              </w:rPr>
            </w:pPr>
            <w:bookmarkStart w:name="_Toc287275482" w:id="121"/>
            <w:bookmarkStart w:name="_Toc287508825" w:id="122"/>
            <w:r w:rsidRPr="00F45AF5">
              <w:rPr>
                <w:rFonts w:ascii="Arial" w:hAnsi="Arial" w:cs="Arial"/>
                <w:szCs w:val="20"/>
              </w:rPr>
              <w:t>a) monitoring the integrity of the financial statements of the Reporting Entity and any formal announcements relating to the Reporting Entity’s financial performance and reviewing significant financial reporting judgements contained in them;</w:t>
            </w:r>
            <w:bookmarkEnd w:id="121"/>
            <w:bookmarkEnd w:id="122"/>
          </w:p>
          <w:p w:rsidRPr="00F45AF5" w:rsidR="0014638B" w:rsidP="00C2006C" w:rsidRDefault="0014638B">
            <w:pPr>
              <w:spacing w:after="0" w:line="240" w:lineRule="auto"/>
              <w:jc w:val="both"/>
              <w:rPr>
                <w:rFonts w:ascii="Arial" w:hAnsi="Arial" w:cs="Arial"/>
                <w:szCs w:val="20"/>
              </w:rPr>
            </w:pPr>
            <w:bookmarkStart w:name="_Toc287275483" w:id="123"/>
            <w:bookmarkStart w:name="_Toc287508826" w:id="124"/>
            <w:r w:rsidRPr="00F45AF5">
              <w:rPr>
                <w:rFonts w:ascii="Arial" w:hAnsi="Arial" w:cs="Arial"/>
                <w:szCs w:val="20"/>
              </w:rPr>
              <w:t>b) reviewing the Reporting Entity’s internal financial controls and, unless expressly addressed by a separate risk committee of the Board or the Board itself, internal controls and risk management systems;</w:t>
            </w:r>
            <w:bookmarkEnd w:id="123"/>
            <w:bookmarkEnd w:id="124"/>
          </w:p>
          <w:p w:rsidRPr="00F45AF5" w:rsidR="0014638B" w:rsidP="00C2006C" w:rsidRDefault="0014638B">
            <w:pPr>
              <w:spacing w:after="0" w:line="240" w:lineRule="auto"/>
              <w:jc w:val="both"/>
              <w:rPr>
                <w:rFonts w:ascii="Arial" w:hAnsi="Arial" w:cs="Arial"/>
                <w:szCs w:val="20"/>
              </w:rPr>
            </w:pPr>
            <w:bookmarkStart w:name="_Toc287275484" w:id="125"/>
            <w:bookmarkStart w:name="_Toc287508827" w:id="126"/>
            <w:r w:rsidRPr="00F45AF5">
              <w:rPr>
                <w:rFonts w:ascii="Arial" w:hAnsi="Arial" w:cs="Arial"/>
                <w:szCs w:val="20"/>
              </w:rPr>
              <w:t>c)  monitoring and reviewing the effectiveness of the Reporting Entity’s internal audit function;</w:t>
            </w:r>
            <w:bookmarkEnd w:id="125"/>
            <w:bookmarkEnd w:id="126"/>
          </w:p>
          <w:p w:rsidRPr="00F45AF5" w:rsidR="0014638B" w:rsidP="00C2006C" w:rsidRDefault="0014638B">
            <w:pPr>
              <w:spacing w:after="0" w:line="240" w:lineRule="auto"/>
              <w:jc w:val="both"/>
              <w:rPr>
                <w:rFonts w:ascii="Arial" w:hAnsi="Arial" w:cs="Arial"/>
                <w:szCs w:val="20"/>
              </w:rPr>
            </w:pPr>
            <w:bookmarkStart w:name="_Toc287275485" w:id="127"/>
            <w:bookmarkStart w:name="_Toc287508828" w:id="128"/>
            <w:r w:rsidRPr="00F45AF5">
              <w:rPr>
                <w:rFonts w:ascii="Arial" w:hAnsi="Arial" w:cs="Arial"/>
                <w:szCs w:val="20"/>
              </w:rPr>
              <w:t>d) making recommendations to the Board in respect of the appointment, re-appointment, removal and terms of engagement, including remuneration, of the external auditor;</w:t>
            </w:r>
            <w:bookmarkEnd w:id="127"/>
            <w:bookmarkEnd w:id="128"/>
          </w:p>
          <w:p w:rsidRPr="00F45AF5" w:rsidR="0014638B" w:rsidP="00C2006C" w:rsidRDefault="0014638B">
            <w:pPr>
              <w:spacing w:after="0" w:line="240" w:lineRule="auto"/>
              <w:jc w:val="both"/>
              <w:rPr>
                <w:rFonts w:ascii="Arial" w:hAnsi="Arial" w:cs="Arial"/>
                <w:szCs w:val="20"/>
              </w:rPr>
            </w:pPr>
            <w:bookmarkStart w:name="_Toc287275486" w:id="129"/>
            <w:bookmarkStart w:name="_Toc287508829" w:id="130"/>
            <w:r w:rsidRPr="00F45AF5">
              <w:rPr>
                <w:rFonts w:ascii="Arial" w:hAnsi="Arial" w:cs="Arial"/>
                <w:szCs w:val="20"/>
              </w:rPr>
              <w:t>e) reviewing and monitoring the external auditor’s independence and objectivity and the effectiveness of the audit process;</w:t>
            </w:r>
            <w:bookmarkEnd w:id="129"/>
            <w:bookmarkEnd w:id="130"/>
            <w:r w:rsidRPr="00F45AF5">
              <w:rPr>
                <w:rFonts w:ascii="Arial" w:hAnsi="Arial" w:cs="Arial"/>
                <w:szCs w:val="20"/>
              </w:rPr>
              <w:t xml:space="preserve"> </w:t>
            </w:r>
            <w:bookmarkStart w:name="_Toc287275487" w:id="131"/>
            <w:bookmarkStart w:name="_Toc287508830" w:id="132"/>
          </w:p>
          <w:p w:rsidRPr="00F45AF5" w:rsidR="0014638B" w:rsidP="00C2006C" w:rsidRDefault="0014638B">
            <w:pPr>
              <w:spacing w:after="0" w:line="240" w:lineRule="auto"/>
              <w:jc w:val="both"/>
              <w:rPr>
                <w:rFonts w:ascii="Arial" w:hAnsi="Arial" w:cs="Arial"/>
                <w:szCs w:val="20"/>
              </w:rPr>
            </w:pPr>
            <w:r w:rsidRPr="00F45AF5">
              <w:rPr>
                <w:rFonts w:ascii="Arial" w:hAnsi="Arial" w:cs="Arial"/>
                <w:szCs w:val="20"/>
              </w:rPr>
              <w:t>f) developing and implementing policy on the engagement of the external auditor to supply non -audit services; and</w:t>
            </w:r>
            <w:bookmarkEnd w:id="131"/>
            <w:bookmarkEnd w:id="132"/>
          </w:p>
          <w:p w:rsidRPr="00F45AF5" w:rsidR="0014638B" w:rsidP="00C2006C" w:rsidRDefault="0014638B">
            <w:pPr>
              <w:spacing w:after="0" w:line="240" w:lineRule="auto"/>
              <w:jc w:val="both"/>
              <w:rPr>
                <w:rFonts w:ascii="Arial" w:hAnsi="Arial" w:cs="Arial"/>
                <w:szCs w:val="20"/>
              </w:rPr>
            </w:pPr>
            <w:bookmarkStart w:name="_Toc287275488" w:id="133"/>
            <w:bookmarkStart w:name="_Toc287508831" w:id="134"/>
            <w:r w:rsidRPr="00F45AF5">
              <w:rPr>
                <w:rFonts w:ascii="Arial" w:hAnsi="Arial" w:cs="Arial"/>
                <w:szCs w:val="20"/>
              </w:rPr>
              <w:t>g) reviewing the adequacy of arrangements by which staff of the Reporting Entity may, in confidence, raise concerns about possible improprieties in matters of financial reporting or other matters to ensure that arrangements are in place for the proportionate and independent investigation of such matters and for appropriate follow-up action.</w:t>
            </w:r>
            <w:bookmarkEnd w:id="133"/>
            <w:bookmarkEnd w:id="134"/>
          </w:p>
          <w:p w:rsidRPr="00F45AF5" w:rsidR="0014638B" w:rsidP="001D1B5B" w:rsidRDefault="0014638B">
            <w:pPr>
              <w:spacing w:after="0" w:line="240" w:lineRule="auto"/>
              <w:rPr>
                <w:rFonts w:ascii="Arial" w:hAnsi="Arial" w:eastAsia="Times New Roman" w:cs="Arial"/>
                <w:szCs w:val="20"/>
                <w:lang w:val="en-US"/>
              </w:rPr>
            </w:pPr>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14638B">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lastRenderedPageBreak/>
              <w:t>50.</w:t>
            </w:r>
          </w:p>
        </w:tc>
        <w:tc>
          <w:tcPr>
            <w:tcW w:w="4441" w:type="dxa"/>
            <w:tcBorders>
              <w:left w:val="nil"/>
            </w:tcBorders>
            <w:shd w:val="clear" w:color="auto" w:fill="auto"/>
            <w:tcMar>
              <w:top w:w="57" w:type="dxa"/>
            </w:tcMar>
          </w:tcPr>
          <w:p w:rsidRPr="00F45AF5" w:rsidR="0014638B" w:rsidP="00A676BF" w:rsidRDefault="0014638B">
            <w:pPr>
              <w:spacing w:after="0" w:line="240" w:lineRule="auto"/>
              <w:jc w:val="both"/>
              <w:rPr>
                <w:rFonts w:ascii="Arial" w:hAnsi="Arial" w:eastAsia="Times New Roman" w:cs="Arial"/>
                <w:szCs w:val="20"/>
                <w:lang w:val="en-US"/>
              </w:rPr>
            </w:pPr>
            <w:bookmarkStart w:name="_Toc287275489" w:id="135"/>
            <w:bookmarkStart w:name="_Toc287508832" w:id="136"/>
            <w:r w:rsidRPr="00F45AF5">
              <w:rPr>
                <w:rFonts w:ascii="Arial" w:hAnsi="Arial" w:cs="Arial"/>
                <w:szCs w:val="20"/>
              </w:rPr>
              <w:t>The Boar</w:t>
            </w:r>
            <w:r w:rsidR="00A676BF">
              <w:rPr>
                <w:rFonts w:ascii="Arial" w:hAnsi="Arial" w:cs="Arial"/>
                <w:szCs w:val="20"/>
              </w:rPr>
              <w:t>d should appoint at least 2</w:t>
            </w:r>
            <w:r w:rsidRPr="00F45AF5">
              <w:rPr>
                <w:rFonts w:ascii="Arial" w:hAnsi="Arial" w:cs="Arial"/>
                <w:szCs w:val="20"/>
              </w:rPr>
              <w:t xml:space="preserve"> independent non-executive Directors to the audit committee.  At least one of the independent non-executive Directors appointed to the audit committee should have recent and relevant financial expertise.  The chair of the audit committee should be an independent non-executive Director.</w:t>
            </w:r>
            <w:bookmarkEnd w:id="135"/>
            <w:bookmarkEnd w:id="136"/>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14638B">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51.</w:t>
            </w:r>
          </w:p>
        </w:tc>
        <w:tc>
          <w:tcPr>
            <w:tcW w:w="4441" w:type="dxa"/>
            <w:tcBorders>
              <w:left w:val="nil"/>
            </w:tcBorders>
            <w:shd w:val="clear" w:color="auto" w:fill="auto"/>
            <w:tcMar>
              <w:top w:w="57" w:type="dxa"/>
            </w:tcMar>
          </w:tcPr>
          <w:p w:rsidRPr="00F45AF5" w:rsidR="0014638B" w:rsidP="00C2006C" w:rsidRDefault="0014638B">
            <w:pPr>
              <w:spacing w:after="0" w:line="240" w:lineRule="auto"/>
              <w:jc w:val="both"/>
              <w:rPr>
                <w:rFonts w:ascii="Arial" w:hAnsi="Arial" w:eastAsia="Times New Roman" w:cs="Arial"/>
                <w:szCs w:val="20"/>
                <w:lang w:val="en-US"/>
              </w:rPr>
            </w:pPr>
            <w:bookmarkStart w:name="_Toc287275490" w:id="137"/>
            <w:bookmarkStart w:name="_Toc287508833" w:id="138"/>
            <w:r w:rsidRPr="00F45AF5">
              <w:rPr>
                <w:rFonts w:ascii="Arial" w:hAnsi="Arial" w:cs="Arial"/>
                <w:szCs w:val="20"/>
              </w:rPr>
              <w:t>A separate section of the annual report should describe the work of the audit committee in discharging its responsibilities.  The annual report should also explain to shareholders how, if the auditor provides non-audit services, auditor objectivity and independence is safeguarded.</w:t>
            </w:r>
            <w:bookmarkEnd w:id="137"/>
            <w:bookmarkEnd w:id="138"/>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14638B">
            <w:pPr>
              <w:spacing w:after="0" w:line="240" w:lineRule="auto"/>
              <w:rPr>
                <w:rFonts w:ascii="Arial" w:hAnsi="Arial" w:eastAsia="Times New Roman" w:cs="Arial"/>
                <w:szCs w:val="20"/>
                <w:lang w:val="en-US"/>
              </w:rPr>
            </w:pPr>
          </w:p>
        </w:tc>
        <w:tc>
          <w:tcPr>
            <w:tcW w:w="4441" w:type="dxa"/>
            <w:tcBorders>
              <w:left w:val="nil"/>
            </w:tcBorders>
            <w:shd w:val="clear" w:color="auto" w:fill="auto"/>
            <w:tcMar>
              <w:top w:w="57" w:type="dxa"/>
            </w:tcMar>
          </w:tcPr>
          <w:p w:rsidRPr="00F45AF5" w:rsidR="0014638B" w:rsidP="00C2006C" w:rsidRDefault="00B95413">
            <w:pPr>
              <w:spacing w:after="0" w:line="240" w:lineRule="auto"/>
              <w:jc w:val="both"/>
              <w:rPr>
                <w:rFonts w:ascii="Arial" w:hAnsi="Arial" w:eastAsia="Times New Roman" w:cs="Arial"/>
                <w:szCs w:val="20"/>
                <w:lang w:val="en-US"/>
              </w:rPr>
            </w:pPr>
            <w:r w:rsidRPr="00F45AF5">
              <w:rPr>
                <w:rFonts w:ascii="Arial" w:hAnsi="Arial" w:cs="Arial"/>
                <w:b/>
                <w:color w:val="CC0000"/>
                <w:szCs w:val="20"/>
              </w:rPr>
              <w:t>Principle 5 – Shareholder rights and effective dialogue</w:t>
            </w:r>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B95413">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52.</w:t>
            </w:r>
          </w:p>
        </w:tc>
        <w:tc>
          <w:tcPr>
            <w:tcW w:w="4441" w:type="dxa"/>
            <w:tcBorders>
              <w:left w:val="nil"/>
            </w:tcBorders>
            <w:shd w:val="clear" w:color="auto" w:fill="auto"/>
            <w:tcMar>
              <w:top w:w="57" w:type="dxa"/>
            </w:tcMar>
          </w:tcPr>
          <w:p w:rsidRPr="00F45AF5" w:rsidR="0014638B" w:rsidP="001D1B5B" w:rsidRDefault="00B95413">
            <w:pPr>
              <w:spacing w:after="0" w:line="240" w:lineRule="auto"/>
              <w:rPr>
                <w:rFonts w:ascii="Arial" w:hAnsi="Arial" w:eastAsia="Times New Roman" w:cs="Arial"/>
                <w:szCs w:val="20"/>
                <w:lang w:val="en-US"/>
              </w:rPr>
            </w:pPr>
            <w:bookmarkStart w:name="_Toc287275491" w:id="139"/>
            <w:bookmarkStart w:name="_Toc287508834" w:id="140"/>
            <w:r w:rsidRPr="00F45AF5">
              <w:rPr>
                <w:rFonts w:ascii="Arial" w:hAnsi="Arial" w:cs="Arial"/>
                <w:szCs w:val="20"/>
              </w:rPr>
              <w:t>The Board as a whole has responsibility for ensuring that a satisfactory dialogue with shareholders takes place.  Such dialogue should be based on the mutual understanding of objectives and provision of adequate information relating to the Reporting Entity including financial information, and how the business and affairs of the Reporting Entity are carried out.</w:t>
            </w:r>
            <w:bookmarkEnd w:id="139"/>
            <w:bookmarkEnd w:id="140"/>
            <w:r w:rsidRPr="00F45AF5">
              <w:rPr>
                <w:rFonts w:ascii="Arial" w:hAnsi="Arial" w:cs="Arial"/>
                <w:szCs w:val="20"/>
              </w:rPr>
              <w:t xml:space="preserve">  </w:t>
            </w:r>
            <w:r w:rsidRPr="00F45AF5" w:rsidDel="00DC3F1B">
              <w:rPr>
                <w:rFonts w:ascii="Arial" w:hAnsi="Arial" w:eastAsia="Times New Roman" w:cs="Arial"/>
                <w:szCs w:val="20"/>
                <w:lang w:val="en-US"/>
              </w:rPr>
              <w:t xml:space="preserve"> </w:t>
            </w:r>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B95413">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53.</w:t>
            </w:r>
          </w:p>
        </w:tc>
        <w:tc>
          <w:tcPr>
            <w:tcW w:w="4441" w:type="dxa"/>
            <w:tcBorders>
              <w:left w:val="nil"/>
            </w:tcBorders>
            <w:shd w:val="clear" w:color="auto" w:fill="auto"/>
            <w:tcMar>
              <w:top w:w="57" w:type="dxa"/>
            </w:tcMar>
          </w:tcPr>
          <w:p w:rsidRPr="00F45AF5" w:rsidR="0014638B" w:rsidP="00C2006C" w:rsidRDefault="00B95413">
            <w:pPr>
              <w:spacing w:after="0" w:line="240" w:lineRule="auto"/>
              <w:jc w:val="both"/>
              <w:rPr>
                <w:rFonts w:ascii="Arial" w:hAnsi="Arial" w:eastAsia="Times New Roman" w:cs="Arial"/>
                <w:szCs w:val="20"/>
                <w:lang w:val="en-US"/>
              </w:rPr>
            </w:pPr>
            <w:bookmarkStart w:name="_Toc287275492" w:id="141"/>
            <w:bookmarkStart w:name="_Toc287508835" w:id="142"/>
            <w:r w:rsidRPr="00F45AF5">
              <w:rPr>
                <w:rFonts w:ascii="Arial" w:hAnsi="Arial" w:cs="Arial"/>
                <w:szCs w:val="20"/>
              </w:rPr>
              <w:t>The Board should hold a general meeting of shareholders at least annually.</w:t>
            </w:r>
            <w:bookmarkEnd w:id="141"/>
            <w:bookmarkEnd w:id="142"/>
            <w:r w:rsidRPr="00F45AF5">
              <w:rPr>
                <w:rFonts w:ascii="Arial" w:hAnsi="Arial" w:cs="Arial"/>
                <w:szCs w:val="20"/>
              </w:rPr>
              <w:t xml:space="preserve"> </w:t>
            </w:r>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B95413">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54.</w:t>
            </w:r>
          </w:p>
        </w:tc>
        <w:tc>
          <w:tcPr>
            <w:tcW w:w="4441" w:type="dxa"/>
            <w:tcBorders>
              <w:left w:val="nil"/>
            </w:tcBorders>
            <w:shd w:val="clear" w:color="auto" w:fill="auto"/>
            <w:tcMar>
              <w:top w:w="57" w:type="dxa"/>
            </w:tcMar>
          </w:tcPr>
          <w:p w:rsidRPr="00F45AF5" w:rsidR="0014638B" w:rsidP="00C2006C" w:rsidRDefault="00B95413">
            <w:pPr>
              <w:spacing w:after="0" w:line="240" w:lineRule="auto"/>
              <w:jc w:val="both"/>
              <w:rPr>
                <w:rFonts w:ascii="Arial" w:hAnsi="Arial" w:eastAsia="Times New Roman" w:cs="Arial"/>
                <w:szCs w:val="20"/>
                <w:lang w:val="en-US"/>
              </w:rPr>
            </w:pPr>
            <w:bookmarkStart w:name="_Toc287275493" w:id="143"/>
            <w:bookmarkStart w:name="_Toc287508836" w:id="144"/>
            <w:r w:rsidRPr="00F45AF5">
              <w:rPr>
                <w:rFonts w:ascii="Arial" w:hAnsi="Arial" w:cs="Arial"/>
                <w:szCs w:val="20"/>
              </w:rPr>
              <w:t>The Board should use the annual general meeting to communicate with shareholders on important aspects of the Reporting Entity’s business and affairs and encourage their participation.  Shareholders should have the opportunity to ask questions of the Board, to place items on the agenda of general meetings and to propose resolutions.</w:t>
            </w:r>
            <w:bookmarkEnd w:id="143"/>
            <w:bookmarkEnd w:id="144"/>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B95413">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55.</w:t>
            </w:r>
          </w:p>
        </w:tc>
        <w:tc>
          <w:tcPr>
            <w:tcW w:w="4441" w:type="dxa"/>
            <w:tcBorders>
              <w:left w:val="nil"/>
            </w:tcBorders>
            <w:shd w:val="clear" w:color="auto" w:fill="auto"/>
            <w:tcMar>
              <w:top w:w="57" w:type="dxa"/>
            </w:tcMar>
          </w:tcPr>
          <w:p w:rsidRPr="00F45AF5" w:rsidR="0014638B" w:rsidP="00C2006C" w:rsidRDefault="00B95413">
            <w:pPr>
              <w:spacing w:after="0" w:line="240" w:lineRule="auto"/>
              <w:jc w:val="both"/>
              <w:rPr>
                <w:rFonts w:ascii="Arial" w:hAnsi="Arial" w:eastAsia="Times New Roman" w:cs="Arial"/>
                <w:szCs w:val="20"/>
                <w:lang w:val="en-US"/>
              </w:rPr>
            </w:pPr>
            <w:bookmarkStart w:name="_Toc287275494" w:id="145"/>
            <w:bookmarkStart w:name="_Toc287508837" w:id="146"/>
            <w:r w:rsidRPr="00F45AF5">
              <w:rPr>
                <w:rFonts w:ascii="Arial" w:hAnsi="Arial" w:cs="Arial"/>
                <w:szCs w:val="20"/>
              </w:rPr>
              <w:t>At any general meeting, the Reporting Entity should propose a separate resolution on each substantial separate issue, and should in particular propose a resolution at the annual general meeting relating to the report and accounts.  For each resolution, proxy appointment forms should provide shareholders with the option to direct their proxy to vote either for or against the resolution or to withhold their vote.</w:t>
            </w:r>
            <w:bookmarkEnd w:id="145"/>
            <w:bookmarkEnd w:id="146"/>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B95413">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lastRenderedPageBreak/>
              <w:t>56.</w:t>
            </w:r>
          </w:p>
        </w:tc>
        <w:tc>
          <w:tcPr>
            <w:tcW w:w="4441" w:type="dxa"/>
            <w:tcBorders>
              <w:left w:val="nil"/>
            </w:tcBorders>
            <w:shd w:val="clear" w:color="auto" w:fill="auto"/>
            <w:tcMar>
              <w:top w:w="57" w:type="dxa"/>
            </w:tcMar>
          </w:tcPr>
          <w:p w:rsidRPr="00F45AF5" w:rsidR="0014638B" w:rsidP="00C2006C" w:rsidRDefault="00A676BF">
            <w:pPr>
              <w:spacing w:after="0" w:line="240" w:lineRule="auto"/>
              <w:jc w:val="both"/>
              <w:rPr>
                <w:rFonts w:ascii="Arial" w:hAnsi="Arial" w:eastAsia="Times New Roman" w:cs="Arial"/>
                <w:szCs w:val="20"/>
                <w:lang w:val="en-US"/>
              </w:rPr>
            </w:pPr>
            <w:bookmarkStart w:name="_Toc287275495" w:id="147"/>
            <w:bookmarkStart w:name="_Toc287508838" w:id="148"/>
            <w:r>
              <w:rPr>
                <w:rFonts w:ascii="Arial" w:hAnsi="Arial" w:cs="Arial"/>
                <w:szCs w:val="20"/>
              </w:rPr>
              <w:t>The C</w:t>
            </w:r>
            <w:r w:rsidRPr="00F45AF5" w:rsidR="00B95413">
              <w:rPr>
                <w:rFonts w:ascii="Arial" w:hAnsi="Arial" w:cs="Arial"/>
                <w:szCs w:val="20"/>
              </w:rPr>
              <w:t>hairman should arrange for the chairs of the audit, remuneration, and nomination committees to be available to answer questions at the annual general meeting and for all Directors to attend either in person or by electronic means.</w:t>
            </w:r>
            <w:bookmarkEnd w:id="147"/>
            <w:bookmarkEnd w:id="148"/>
            <w:r w:rsidRPr="00F45AF5" w:rsidDel="00DC3F1B" w:rsidR="00B95413">
              <w:rPr>
                <w:rFonts w:ascii="Arial" w:hAnsi="Arial" w:eastAsia="Times New Roman" w:cs="Arial"/>
                <w:szCs w:val="20"/>
                <w:lang w:val="en-US"/>
              </w:rPr>
              <w:t xml:space="preserve"> </w:t>
            </w:r>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B95413">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57.</w:t>
            </w:r>
          </w:p>
        </w:tc>
        <w:tc>
          <w:tcPr>
            <w:tcW w:w="4441" w:type="dxa"/>
            <w:tcBorders>
              <w:left w:val="nil"/>
            </w:tcBorders>
            <w:shd w:val="clear" w:color="auto" w:fill="auto"/>
            <w:tcMar>
              <w:top w:w="57" w:type="dxa"/>
            </w:tcMar>
          </w:tcPr>
          <w:p w:rsidRPr="00F45AF5" w:rsidR="0014638B" w:rsidP="00A676BF" w:rsidRDefault="00B95413">
            <w:pPr>
              <w:spacing w:after="0" w:line="240" w:lineRule="auto"/>
              <w:jc w:val="both"/>
              <w:rPr>
                <w:rFonts w:ascii="Arial" w:hAnsi="Arial" w:eastAsia="Times New Roman" w:cs="Arial"/>
                <w:szCs w:val="20"/>
                <w:lang w:val="en-US"/>
              </w:rPr>
            </w:pPr>
            <w:bookmarkStart w:name="_Toc287275496" w:id="149"/>
            <w:bookmarkStart w:name="_Toc287508839" w:id="150"/>
            <w:r w:rsidRPr="00F45AF5">
              <w:rPr>
                <w:rFonts w:ascii="Arial" w:hAnsi="Arial" w:cs="Arial"/>
                <w:szCs w:val="20"/>
              </w:rPr>
              <w:t xml:space="preserve">Whilst recognising that most shareholder contact is with the </w:t>
            </w:r>
            <w:r w:rsidR="00A676BF">
              <w:rPr>
                <w:rFonts w:ascii="Arial" w:hAnsi="Arial" w:cs="Arial"/>
                <w:szCs w:val="20"/>
              </w:rPr>
              <w:t>C</w:t>
            </w:r>
            <w:r w:rsidRPr="00F45AF5">
              <w:rPr>
                <w:rFonts w:ascii="Arial" w:hAnsi="Arial" w:cs="Arial"/>
                <w:szCs w:val="20"/>
              </w:rPr>
              <w:t xml:space="preserve">hief </w:t>
            </w:r>
            <w:r w:rsidR="00A676BF">
              <w:rPr>
                <w:rFonts w:ascii="Arial" w:hAnsi="Arial" w:cs="Arial"/>
                <w:szCs w:val="20"/>
              </w:rPr>
              <w:t>E</w:t>
            </w:r>
            <w:r w:rsidRPr="00F45AF5">
              <w:rPr>
                <w:rFonts w:ascii="Arial" w:hAnsi="Arial" w:cs="Arial"/>
                <w:szCs w:val="20"/>
              </w:rPr>
              <w:t xml:space="preserve">xecutive and </w:t>
            </w:r>
            <w:r w:rsidR="00A676BF">
              <w:rPr>
                <w:rFonts w:ascii="Arial" w:hAnsi="Arial" w:cs="Arial"/>
                <w:szCs w:val="20"/>
              </w:rPr>
              <w:t>F</w:t>
            </w:r>
            <w:r w:rsidRPr="00F45AF5">
              <w:rPr>
                <w:rFonts w:ascii="Arial" w:hAnsi="Arial" w:cs="Arial"/>
                <w:szCs w:val="20"/>
              </w:rPr>
              <w:t xml:space="preserve">inance Director, the </w:t>
            </w:r>
            <w:r w:rsidR="00A676BF">
              <w:rPr>
                <w:rFonts w:ascii="Arial" w:hAnsi="Arial" w:cs="Arial"/>
                <w:szCs w:val="20"/>
              </w:rPr>
              <w:t>C</w:t>
            </w:r>
            <w:r w:rsidRPr="00F45AF5">
              <w:rPr>
                <w:rFonts w:ascii="Arial" w:hAnsi="Arial" w:cs="Arial"/>
                <w:szCs w:val="20"/>
              </w:rPr>
              <w:t>hairman and other Directors, including non-executive Directors, as appropriate should maintain sufficient contact with major shareholders to understand their issues and concerns. The Board should keep in touch with shareholder opinion using means which are most practical and efficient taking into account the nature, scale and complexity of its operations and the nature of its shareholder base.  The Board should use its website as a forum for the posting of information such as new strategies, calendar for important meetings and other events.</w:t>
            </w:r>
            <w:bookmarkEnd w:id="149"/>
            <w:bookmarkEnd w:id="150"/>
            <w:r w:rsidRPr="00F45AF5" w:rsidDel="00DC3F1B">
              <w:rPr>
                <w:rFonts w:ascii="Arial" w:hAnsi="Arial" w:eastAsia="Times New Roman" w:cs="Arial"/>
                <w:szCs w:val="20"/>
                <w:lang w:val="en-US"/>
              </w:rPr>
              <w:t xml:space="preserve"> </w:t>
            </w:r>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B95413">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58.</w:t>
            </w:r>
          </w:p>
        </w:tc>
        <w:tc>
          <w:tcPr>
            <w:tcW w:w="4441" w:type="dxa"/>
            <w:tcBorders>
              <w:left w:val="nil"/>
            </w:tcBorders>
            <w:shd w:val="clear" w:color="auto" w:fill="auto"/>
            <w:tcMar>
              <w:top w:w="57" w:type="dxa"/>
            </w:tcMar>
          </w:tcPr>
          <w:p w:rsidRPr="00F45AF5" w:rsidR="0014638B" w:rsidP="00C2006C" w:rsidRDefault="00A676BF">
            <w:pPr>
              <w:spacing w:after="0" w:line="240" w:lineRule="auto"/>
              <w:jc w:val="both"/>
              <w:rPr>
                <w:rFonts w:ascii="Arial" w:hAnsi="Arial" w:eastAsia="Times New Roman" w:cs="Arial"/>
                <w:szCs w:val="20"/>
                <w:lang w:val="en-US"/>
              </w:rPr>
            </w:pPr>
            <w:bookmarkStart w:name="_Toc287275497" w:id="151"/>
            <w:bookmarkStart w:name="_Toc287508840" w:id="152"/>
            <w:r>
              <w:rPr>
                <w:rFonts w:ascii="Arial" w:hAnsi="Arial" w:cs="Arial"/>
                <w:szCs w:val="20"/>
              </w:rPr>
              <w:t>The C</w:t>
            </w:r>
            <w:r w:rsidRPr="00F45AF5" w:rsidR="00B95413">
              <w:rPr>
                <w:rFonts w:ascii="Arial" w:hAnsi="Arial" w:cs="Arial"/>
                <w:szCs w:val="20"/>
              </w:rPr>
              <w:t>hairman should ensure that the views of shareholders are communicated to the Board as a whole.  In addition, the chairman should discuss governance and strategy of the Reporting Entity at least with its major shareholders. Non-executive Directors should be offered the opportunity to attend meetings with major shareholders and should expect to attend such meetings especially if requested by major shareholders.</w:t>
            </w:r>
            <w:bookmarkEnd w:id="151"/>
            <w:bookmarkEnd w:id="152"/>
            <w:r w:rsidRPr="00F45AF5" w:rsidDel="00DC3F1B" w:rsidR="00B95413">
              <w:rPr>
                <w:rFonts w:ascii="Arial" w:hAnsi="Arial" w:eastAsia="Times New Roman" w:cs="Arial"/>
                <w:szCs w:val="20"/>
                <w:lang w:val="en-US"/>
              </w:rPr>
              <w:t xml:space="preserve"> </w:t>
            </w:r>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B95413">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59.</w:t>
            </w:r>
          </w:p>
        </w:tc>
        <w:tc>
          <w:tcPr>
            <w:tcW w:w="4441" w:type="dxa"/>
            <w:tcBorders>
              <w:left w:val="nil"/>
            </w:tcBorders>
            <w:shd w:val="clear" w:color="auto" w:fill="auto"/>
            <w:tcMar>
              <w:top w:w="57" w:type="dxa"/>
            </w:tcMar>
          </w:tcPr>
          <w:p w:rsidRPr="00F45AF5" w:rsidR="0014638B" w:rsidP="00C2006C" w:rsidRDefault="00B95413">
            <w:pPr>
              <w:spacing w:after="0" w:line="240" w:lineRule="auto"/>
              <w:jc w:val="both"/>
              <w:rPr>
                <w:rFonts w:ascii="Arial" w:hAnsi="Arial" w:eastAsia="Times New Roman" w:cs="Arial"/>
                <w:szCs w:val="20"/>
                <w:lang w:val="en-US"/>
              </w:rPr>
            </w:pPr>
            <w:bookmarkStart w:name="_Toc287275498" w:id="153"/>
            <w:bookmarkStart w:name="_Toc287508841" w:id="154"/>
            <w:r w:rsidRPr="00F45AF5">
              <w:rPr>
                <w:rFonts w:ascii="Arial" w:hAnsi="Arial" w:cs="Arial"/>
                <w:szCs w:val="20"/>
              </w:rPr>
              <w:t>The Board should ensure that no steps are taken which may prevent shareholders consulting with other shareholders on issues concerning their basic shareholder rights, subject to exceptions to prevent abuse. Similarly, the Board should also protect minority shareholders from any oppressive or abusive action by controlling or major shareholders.</w:t>
            </w:r>
            <w:bookmarkEnd w:id="153"/>
            <w:bookmarkEnd w:id="154"/>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bl>
    <w:p w:rsidR="00A676BF" w:rsidRDefault="00A676BF">
      <w:r>
        <w:br w:type="page"/>
      </w:r>
    </w:p>
    <w:tbl>
      <w:tblPr>
        <w:tblW w:w="9271"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709"/>
        <w:gridCol w:w="4441"/>
        <w:gridCol w:w="2090"/>
        <w:gridCol w:w="2031"/>
      </w:tblGrid>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14638B">
            <w:pPr>
              <w:spacing w:after="0" w:line="240" w:lineRule="auto"/>
              <w:rPr>
                <w:rFonts w:ascii="Arial" w:hAnsi="Arial" w:eastAsia="Times New Roman" w:cs="Arial"/>
                <w:szCs w:val="20"/>
                <w:lang w:val="en-US"/>
              </w:rPr>
            </w:pPr>
          </w:p>
        </w:tc>
        <w:tc>
          <w:tcPr>
            <w:tcW w:w="4441" w:type="dxa"/>
            <w:tcBorders>
              <w:left w:val="nil"/>
            </w:tcBorders>
            <w:shd w:val="clear" w:color="auto" w:fill="auto"/>
            <w:tcMar>
              <w:top w:w="57" w:type="dxa"/>
            </w:tcMar>
          </w:tcPr>
          <w:p w:rsidRPr="00F45AF5" w:rsidR="0014638B" w:rsidP="001D1B5B" w:rsidRDefault="00B95413">
            <w:pPr>
              <w:spacing w:after="0" w:line="240" w:lineRule="auto"/>
              <w:rPr>
                <w:rFonts w:ascii="Arial" w:hAnsi="Arial" w:eastAsia="Times New Roman" w:cs="Arial"/>
                <w:szCs w:val="20"/>
                <w:lang w:val="en-US"/>
              </w:rPr>
            </w:pPr>
            <w:r w:rsidRPr="00F45AF5">
              <w:rPr>
                <w:rFonts w:ascii="Arial" w:hAnsi="Arial" w:cs="Arial"/>
                <w:b/>
                <w:color w:val="CC0000"/>
                <w:szCs w:val="20"/>
              </w:rPr>
              <w:t>Other stakeholders</w:t>
            </w:r>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095D56">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60.</w:t>
            </w:r>
          </w:p>
        </w:tc>
        <w:tc>
          <w:tcPr>
            <w:tcW w:w="4441" w:type="dxa"/>
            <w:tcBorders>
              <w:left w:val="nil"/>
            </w:tcBorders>
            <w:shd w:val="clear" w:color="auto" w:fill="auto"/>
            <w:tcMar>
              <w:top w:w="57" w:type="dxa"/>
            </w:tcMar>
          </w:tcPr>
          <w:p w:rsidRPr="00F45AF5" w:rsidR="0014638B" w:rsidP="00C2006C" w:rsidRDefault="00095D56">
            <w:pPr>
              <w:spacing w:after="0" w:line="240" w:lineRule="auto"/>
              <w:jc w:val="both"/>
              <w:rPr>
                <w:rFonts w:ascii="Arial" w:hAnsi="Arial" w:eastAsia="Times New Roman" w:cs="Arial"/>
                <w:szCs w:val="20"/>
                <w:lang w:val="en-US"/>
              </w:rPr>
            </w:pPr>
            <w:bookmarkStart w:name="_Toc287275499" w:id="155"/>
            <w:bookmarkStart w:name="_Toc287508842" w:id="156"/>
            <w:r w:rsidRPr="00F45AF5">
              <w:rPr>
                <w:rFonts w:ascii="Arial" w:hAnsi="Arial" w:cs="Arial"/>
                <w:szCs w:val="20"/>
              </w:rPr>
              <w:t>While shareholders of the Reporting Entity form the major stakeholder group of the Reporting Entity, the Board should also ensure that there are adequate channels of communication with its other key stakeholders as appropriate to the nature, scale and complexity of its business operations, and the environment in which it operates. Such stakeholders may include employees, creditors and business customers of the Reporting Entity.  The Board should make an assessment of the level of information that should generally be made available to the public, or to any particular group of stakeholders, relating to the affairs of the company, and how best to make use of its website or any other channels of communication as appropriate to disseminate relevant information.</w:t>
            </w:r>
            <w:bookmarkEnd w:id="155"/>
            <w:bookmarkEnd w:id="156"/>
            <w:r w:rsidRPr="00F45AF5">
              <w:rPr>
                <w:rFonts w:ascii="Arial" w:hAnsi="Arial" w:cs="Arial"/>
                <w:szCs w:val="20"/>
              </w:rPr>
              <w:t xml:space="preserve">  </w:t>
            </w:r>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14638B">
            <w:pPr>
              <w:spacing w:after="0" w:line="240" w:lineRule="auto"/>
              <w:rPr>
                <w:rFonts w:ascii="Arial" w:hAnsi="Arial" w:eastAsia="Times New Roman" w:cs="Arial"/>
                <w:szCs w:val="20"/>
                <w:lang w:val="en-US"/>
              </w:rPr>
            </w:pPr>
          </w:p>
        </w:tc>
        <w:tc>
          <w:tcPr>
            <w:tcW w:w="4441" w:type="dxa"/>
            <w:tcBorders>
              <w:left w:val="nil"/>
            </w:tcBorders>
            <w:shd w:val="clear" w:color="auto" w:fill="auto"/>
            <w:tcMar>
              <w:top w:w="57" w:type="dxa"/>
            </w:tcMar>
          </w:tcPr>
          <w:p w:rsidRPr="00F45AF5" w:rsidR="0014638B" w:rsidRDefault="00095D56">
            <w:pPr>
              <w:spacing w:after="0" w:line="240" w:lineRule="auto"/>
              <w:rPr>
                <w:rFonts w:ascii="Arial" w:hAnsi="Arial" w:cs="Arial"/>
                <w:b/>
                <w:color w:val="CC0000"/>
                <w:szCs w:val="20"/>
              </w:rPr>
            </w:pPr>
            <w:r w:rsidRPr="00F45AF5">
              <w:rPr>
                <w:rFonts w:ascii="Arial" w:hAnsi="Arial" w:cs="Arial"/>
                <w:b/>
                <w:color w:val="CC0000"/>
                <w:szCs w:val="20"/>
              </w:rPr>
              <w:t>Principle 6 –</w:t>
            </w:r>
            <w:r w:rsidR="00A676BF">
              <w:rPr>
                <w:rFonts w:ascii="Arial" w:hAnsi="Arial" w:cs="Arial"/>
                <w:b/>
                <w:color w:val="CC0000"/>
                <w:szCs w:val="20"/>
              </w:rPr>
              <w:t xml:space="preserve"> </w:t>
            </w:r>
            <w:r w:rsidRPr="00F45AF5">
              <w:rPr>
                <w:rFonts w:ascii="Arial" w:hAnsi="Arial" w:cs="Arial"/>
                <w:b/>
                <w:color w:val="CC0000"/>
                <w:szCs w:val="20"/>
              </w:rPr>
              <w:t xml:space="preserve">Position and prospects </w:t>
            </w:r>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095D56">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61.</w:t>
            </w:r>
          </w:p>
        </w:tc>
        <w:tc>
          <w:tcPr>
            <w:tcW w:w="4441" w:type="dxa"/>
            <w:tcBorders>
              <w:left w:val="nil"/>
            </w:tcBorders>
            <w:shd w:val="clear" w:color="auto" w:fill="auto"/>
            <w:tcMar>
              <w:top w:w="57" w:type="dxa"/>
            </w:tcMar>
          </w:tcPr>
          <w:p w:rsidRPr="00F45AF5" w:rsidR="0014638B" w:rsidP="00C2006C" w:rsidRDefault="00095D56">
            <w:pPr>
              <w:spacing w:after="0" w:line="240" w:lineRule="auto"/>
              <w:jc w:val="both"/>
              <w:rPr>
                <w:rFonts w:ascii="Arial" w:hAnsi="Arial" w:eastAsia="Times New Roman" w:cs="Arial"/>
                <w:szCs w:val="20"/>
                <w:lang w:val="en-US"/>
              </w:rPr>
            </w:pPr>
            <w:bookmarkStart w:name="_Toc287275500" w:id="157"/>
            <w:bookmarkStart w:name="_Toc287508843" w:id="158"/>
            <w:r w:rsidRPr="00F45AF5">
              <w:rPr>
                <w:rFonts w:ascii="Arial" w:hAnsi="Arial" w:cs="Arial"/>
                <w:szCs w:val="20"/>
              </w:rPr>
              <w:t>The Board’s responsibility to present a true, balanced and understandable assessment of its financial position and prospects should extend to interim and other price-sensitive public reports and reports to regulators as well as to information required to be presented by law.</w:t>
            </w:r>
            <w:bookmarkEnd w:id="157"/>
            <w:bookmarkEnd w:id="158"/>
            <w:r w:rsidRPr="00F45AF5">
              <w:rPr>
                <w:rFonts w:ascii="Arial" w:hAnsi="Arial" w:cs="Arial"/>
                <w:szCs w:val="20"/>
              </w:rPr>
              <w:t xml:space="preserve"> </w:t>
            </w:r>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095D56">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62.</w:t>
            </w:r>
          </w:p>
        </w:tc>
        <w:tc>
          <w:tcPr>
            <w:tcW w:w="4441" w:type="dxa"/>
            <w:tcBorders>
              <w:left w:val="nil"/>
            </w:tcBorders>
            <w:shd w:val="clear" w:color="auto" w:fill="auto"/>
            <w:tcMar>
              <w:top w:w="57" w:type="dxa"/>
            </w:tcMar>
          </w:tcPr>
          <w:p w:rsidRPr="00F45AF5" w:rsidR="0014638B" w:rsidP="00C2006C" w:rsidRDefault="00095D56">
            <w:pPr>
              <w:spacing w:after="0" w:line="240" w:lineRule="auto"/>
              <w:jc w:val="both"/>
              <w:rPr>
                <w:rFonts w:ascii="Arial" w:hAnsi="Arial" w:eastAsia="Times New Roman" w:cs="Arial"/>
                <w:szCs w:val="20"/>
                <w:lang w:val="en-US"/>
              </w:rPr>
            </w:pPr>
            <w:bookmarkStart w:name="_Toc287275501" w:id="159"/>
            <w:bookmarkStart w:name="_Toc287508844" w:id="160"/>
            <w:r w:rsidRPr="00F45AF5">
              <w:rPr>
                <w:rFonts w:ascii="Arial" w:hAnsi="Arial" w:cs="Arial"/>
                <w:szCs w:val="20"/>
              </w:rPr>
              <w:t>The Directors should explain in the annual financial report their responsibility for preparing that report and accounts, and there should be a statement by the auditor about their reporting responsibilities.</w:t>
            </w:r>
            <w:bookmarkEnd w:id="159"/>
            <w:bookmarkEnd w:id="160"/>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095D56">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63.</w:t>
            </w:r>
          </w:p>
        </w:tc>
        <w:tc>
          <w:tcPr>
            <w:tcW w:w="4441" w:type="dxa"/>
            <w:tcBorders>
              <w:left w:val="nil"/>
            </w:tcBorders>
            <w:shd w:val="clear" w:color="auto" w:fill="auto"/>
            <w:tcMar>
              <w:top w:w="57" w:type="dxa"/>
            </w:tcMar>
          </w:tcPr>
          <w:p w:rsidRPr="00F45AF5" w:rsidR="0014638B" w:rsidP="00C2006C" w:rsidRDefault="00095D56">
            <w:pPr>
              <w:spacing w:after="0" w:line="240" w:lineRule="auto"/>
              <w:jc w:val="both"/>
              <w:rPr>
                <w:rFonts w:ascii="Arial" w:hAnsi="Arial" w:eastAsia="Times New Roman" w:cs="Arial"/>
                <w:szCs w:val="20"/>
                <w:lang w:val="en-US"/>
              </w:rPr>
            </w:pPr>
            <w:bookmarkStart w:name="_Toc287275502" w:id="161"/>
            <w:bookmarkStart w:name="_Toc287508845" w:id="162"/>
            <w:r w:rsidRPr="00F45AF5">
              <w:rPr>
                <w:rFonts w:ascii="Arial" w:hAnsi="Arial" w:cs="Arial"/>
                <w:szCs w:val="20"/>
              </w:rPr>
              <w:t>The Directors should include in the annual report an explanation of the basis on which the Reporting Entity generates or preserves value over the longer term (the business model) and the strategy for delivering the objectives of the Reporting Entity.</w:t>
            </w:r>
            <w:bookmarkEnd w:id="161"/>
            <w:bookmarkEnd w:id="162"/>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095D56">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64.</w:t>
            </w:r>
          </w:p>
        </w:tc>
        <w:tc>
          <w:tcPr>
            <w:tcW w:w="4441" w:type="dxa"/>
            <w:tcBorders>
              <w:left w:val="nil"/>
            </w:tcBorders>
            <w:shd w:val="clear" w:color="auto" w:fill="auto"/>
            <w:tcMar>
              <w:top w:w="57" w:type="dxa"/>
            </w:tcMar>
          </w:tcPr>
          <w:p w:rsidRPr="00F45AF5" w:rsidR="0014638B" w:rsidP="00C2006C" w:rsidRDefault="00095D56">
            <w:pPr>
              <w:spacing w:after="0" w:line="240" w:lineRule="auto"/>
              <w:jc w:val="both"/>
              <w:rPr>
                <w:rFonts w:ascii="Arial" w:hAnsi="Arial" w:eastAsia="Times New Roman" w:cs="Arial"/>
                <w:szCs w:val="20"/>
                <w:lang w:val="en-US"/>
              </w:rPr>
            </w:pPr>
            <w:bookmarkStart w:name="_Toc287275503" w:id="163"/>
            <w:bookmarkStart w:name="_Toc287508846" w:id="164"/>
            <w:r w:rsidRPr="00F45AF5">
              <w:rPr>
                <w:rFonts w:ascii="Arial" w:hAnsi="Arial" w:cs="Arial"/>
                <w:szCs w:val="20"/>
              </w:rPr>
              <w:t>The Directors should report in annual and half yearly financial statements that the business is a going concern, with supporting assumptions or qualifications as necessary.</w:t>
            </w:r>
            <w:bookmarkEnd w:id="163"/>
            <w:bookmarkEnd w:id="164"/>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bl>
    <w:p w:rsidR="0032428D" w:rsidRDefault="0032428D">
      <w:r>
        <w:br w:type="page"/>
      </w:r>
    </w:p>
    <w:tbl>
      <w:tblPr>
        <w:tblW w:w="9271"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709"/>
        <w:gridCol w:w="4441"/>
        <w:gridCol w:w="2090"/>
        <w:gridCol w:w="2031"/>
      </w:tblGrid>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14638B">
            <w:pPr>
              <w:spacing w:after="0" w:line="240" w:lineRule="auto"/>
              <w:rPr>
                <w:rFonts w:ascii="Arial" w:hAnsi="Arial" w:eastAsia="Times New Roman" w:cs="Arial"/>
                <w:szCs w:val="20"/>
                <w:lang w:val="en-US"/>
              </w:rPr>
            </w:pPr>
          </w:p>
        </w:tc>
        <w:tc>
          <w:tcPr>
            <w:tcW w:w="4441" w:type="dxa"/>
            <w:tcBorders>
              <w:left w:val="nil"/>
            </w:tcBorders>
            <w:shd w:val="clear" w:color="auto" w:fill="auto"/>
            <w:tcMar>
              <w:top w:w="57" w:type="dxa"/>
            </w:tcMar>
          </w:tcPr>
          <w:p w:rsidRPr="00F45AF5" w:rsidR="0014638B" w:rsidP="001D1B5B" w:rsidRDefault="00095D56">
            <w:pPr>
              <w:spacing w:after="0" w:line="240" w:lineRule="auto"/>
              <w:rPr>
                <w:rFonts w:ascii="Arial" w:hAnsi="Arial" w:cs="Arial"/>
                <w:b/>
                <w:color w:val="CC0000"/>
                <w:szCs w:val="20"/>
              </w:rPr>
            </w:pPr>
            <w:r w:rsidRPr="00F45AF5">
              <w:rPr>
                <w:rFonts w:ascii="Arial" w:hAnsi="Arial" w:cs="Arial"/>
                <w:b/>
                <w:color w:val="CC0000"/>
                <w:szCs w:val="20"/>
              </w:rPr>
              <w:t xml:space="preserve">Principle 7 – Remuneration </w:t>
            </w:r>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p>
        </w:tc>
      </w:tr>
      <w:tr w:rsidRPr="00F45AF5" w:rsidR="00095D56" w:rsidTr="00C03C08">
        <w:trPr>
          <w:cantSplit/>
        </w:trPr>
        <w:tc>
          <w:tcPr>
            <w:tcW w:w="709" w:type="dxa"/>
            <w:tcBorders>
              <w:right w:val="nil"/>
            </w:tcBorders>
            <w:shd w:val="clear" w:color="auto" w:fill="auto"/>
            <w:tcMar>
              <w:top w:w="57" w:type="dxa"/>
            </w:tcMar>
          </w:tcPr>
          <w:p w:rsidRPr="00F45AF5" w:rsidR="00095D56" w:rsidP="001D1B5B" w:rsidRDefault="00095D56">
            <w:pPr>
              <w:spacing w:after="0" w:line="240" w:lineRule="auto"/>
              <w:rPr>
                <w:rFonts w:ascii="Arial" w:hAnsi="Arial" w:eastAsia="Times New Roman" w:cs="Arial"/>
                <w:szCs w:val="20"/>
                <w:lang w:val="en-US"/>
              </w:rPr>
            </w:pPr>
          </w:p>
        </w:tc>
        <w:tc>
          <w:tcPr>
            <w:tcW w:w="4441" w:type="dxa"/>
            <w:tcBorders>
              <w:left w:val="nil"/>
            </w:tcBorders>
            <w:shd w:val="clear" w:color="auto" w:fill="auto"/>
            <w:tcMar>
              <w:top w:w="57" w:type="dxa"/>
            </w:tcMar>
          </w:tcPr>
          <w:p w:rsidRPr="00F45AF5" w:rsidR="00095D56" w:rsidDel="00DC3F1B" w:rsidRDefault="00095D56">
            <w:pPr>
              <w:spacing w:after="0" w:line="240" w:lineRule="auto"/>
              <w:rPr>
                <w:rFonts w:ascii="Arial" w:hAnsi="Arial" w:cs="Arial"/>
                <w:b/>
                <w:color w:val="CC0000"/>
                <w:szCs w:val="20"/>
              </w:rPr>
            </w:pPr>
            <w:r w:rsidRPr="00F45AF5">
              <w:rPr>
                <w:rFonts w:ascii="Arial" w:hAnsi="Arial" w:cs="Arial"/>
                <w:b/>
                <w:color w:val="CC0000"/>
                <w:szCs w:val="20"/>
              </w:rPr>
              <w:t>Directors’ remuneration</w:t>
            </w:r>
          </w:p>
        </w:tc>
        <w:tc>
          <w:tcPr>
            <w:tcW w:w="2090" w:type="dxa"/>
            <w:shd w:val="clear" w:color="auto" w:fill="auto"/>
            <w:tcMar>
              <w:top w:w="57" w:type="dxa"/>
            </w:tcMar>
          </w:tcPr>
          <w:p w:rsidRPr="00F45AF5" w:rsidR="00095D56" w:rsidP="001D1B5B" w:rsidRDefault="00095D56">
            <w:pPr>
              <w:keepNext/>
              <w:spacing w:before="40" w:after="40" w:line="240" w:lineRule="auto"/>
              <w:rPr>
                <w:rFonts w:ascii="Arial" w:hAnsi="Arial" w:eastAsia="Times New Roman" w:cs="Arial"/>
                <w:szCs w:val="20"/>
                <w:lang w:val="en-US"/>
              </w:rPr>
            </w:pPr>
          </w:p>
        </w:tc>
        <w:tc>
          <w:tcPr>
            <w:tcW w:w="2031" w:type="dxa"/>
            <w:shd w:val="clear" w:color="auto" w:fill="auto"/>
            <w:tcMar>
              <w:top w:w="57" w:type="dxa"/>
            </w:tcMar>
          </w:tcPr>
          <w:p w:rsidRPr="00F45AF5" w:rsidR="00095D56" w:rsidP="001D1B5B" w:rsidRDefault="00095D56">
            <w:pPr>
              <w:keepNext/>
              <w:spacing w:before="40" w:after="40" w:line="240" w:lineRule="auto"/>
              <w:rPr>
                <w:rFonts w:ascii="Arial" w:hAnsi="Arial" w:eastAsia="Times New Roman" w:cs="Arial"/>
                <w:szCs w:val="20"/>
                <w:lang w:val="en-US"/>
              </w:rPr>
            </w:pP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095D56">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65.</w:t>
            </w:r>
          </w:p>
        </w:tc>
        <w:tc>
          <w:tcPr>
            <w:tcW w:w="4441" w:type="dxa"/>
            <w:tcBorders>
              <w:left w:val="nil"/>
            </w:tcBorders>
            <w:shd w:val="clear" w:color="auto" w:fill="auto"/>
            <w:tcMar>
              <w:top w:w="57" w:type="dxa"/>
            </w:tcMar>
          </w:tcPr>
          <w:p w:rsidRPr="00F45AF5" w:rsidR="00095D56" w:rsidP="00C2006C" w:rsidRDefault="00095D56">
            <w:pPr>
              <w:spacing w:after="0" w:line="240" w:lineRule="auto"/>
              <w:jc w:val="both"/>
              <w:rPr>
                <w:rFonts w:ascii="Arial" w:hAnsi="Arial" w:cs="Arial"/>
                <w:szCs w:val="20"/>
              </w:rPr>
            </w:pPr>
            <w:bookmarkStart w:name="_Toc287275504" w:id="165"/>
            <w:bookmarkStart w:name="_Toc287508847" w:id="166"/>
            <w:r w:rsidRPr="00F45AF5">
              <w:rPr>
                <w:rFonts w:ascii="Arial" w:hAnsi="Arial" w:cs="Arial"/>
                <w:szCs w:val="20"/>
              </w:rPr>
              <w:t>Levels of remuneration of Directors should be sufficient to attract and retain Directors of appropriate quality, taking into account the nature, scale and complexity of the business of the Reporting Entity, and to provide effective direction and leadership to the Reporting Entity in managing its business and affairs successfully. In doing so, the Reporting Entity should avoid paying more than is necessary for this purpose.</w:t>
            </w:r>
            <w:bookmarkEnd w:id="165"/>
            <w:bookmarkEnd w:id="166"/>
          </w:p>
          <w:p w:rsidRPr="00F45AF5" w:rsidR="0014638B" w:rsidP="001D1B5B" w:rsidRDefault="0014638B">
            <w:pPr>
              <w:spacing w:after="0" w:line="240" w:lineRule="auto"/>
              <w:rPr>
                <w:rFonts w:ascii="Arial" w:hAnsi="Arial" w:eastAsia="Times New Roman" w:cs="Arial"/>
                <w:szCs w:val="20"/>
                <w:lang w:val="en-US"/>
              </w:rPr>
            </w:pPr>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D10E10">
        <w:trPr>
          <w:cantSplit/>
        </w:trPr>
        <w:tc>
          <w:tcPr>
            <w:tcW w:w="709" w:type="dxa"/>
            <w:tcBorders>
              <w:right w:val="nil"/>
            </w:tcBorders>
            <w:shd w:val="clear" w:color="auto" w:fill="auto"/>
            <w:tcMar>
              <w:top w:w="57" w:type="dxa"/>
            </w:tcMar>
          </w:tcPr>
          <w:p w:rsidRPr="00F45AF5" w:rsidR="0014638B" w:rsidP="00D10E10" w:rsidRDefault="00095D56">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66.</w:t>
            </w:r>
          </w:p>
        </w:tc>
        <w:tc>
          <w:tcPr>
            <w:tcW w:w="4441" w:type="dxa"/>
            <w:tcBorders>
              <w:left w:val="nil"/>
            </w:tcBorders>
            <w:shd w:val="clear" w:color="auto" w:fill="auto"/>
            <w:tcMar>
              <w:top w:w="57" w:type="dxa"/>
            </w:tcMar>
          </w:tcPr>
          <w:p w:rsidRPr="00F45AF5" w:rsidR="0014638B" w:rsidP="00C2006C" w:rsidRDefault="00095D56">
            <w:pPr>
              <w:tabs>
                <w:tab w:val="num" w:pos="1080"/>
              </w:tabs>
              <w:spacing w:after="0" w:line="240" w:lineRule="auto"/>
              <w:jc w:val="both"/>
              <w:rPr>
                <w:rFonts w:ascii="Arial" w:hAnsi="Arial" w:eastAsia="Times New Roman" w:cs="Arial"/>
                <w:szCs w:val="20"/>
                <w:lang w:val="en-US"/>
              </w:rPr>
            </w:pPr>
            <w:bookmarkStart w:name="_Toc287275505" w:id="167"/>
            <w:bookmarkStart w:name="_Toc287508848" w:id="168"/>
            <w:r w:rsidRPr="00F45AF5">
              <w:rPr>
                <w:rFonts w:ascii="Arial" w:hAnsi="Arial" w:cs="Arial"/>
                <w:szCs w:val="20"/>
              </w:rPr>
              <w:t xml:space="preserve">The performance-related elements of remuneration should form an appropriate proportion of the total remuneration package of executive Directors and should </w:t>
            </w:r>
            <w:r w:rsidR="00A676BF">
              <w:rPr>
                <w:rFonts w:ascii="Arial" w:hAnsi="Arial" w:cs="Arial"/>
                <w:szCs w:val="20"/>
              </w:rPr>
              <w:t>be designed to promote the long-</w:t>
            </w:r>
            <w:r w:rsidRPr="00F45AF5">
              <w:rPr>
                <w:rFonts w:ascii="Arial" w:hAnsi="Arial" w:cs="Arial"/>
                <w:szCs w:val="20"/>
              </w:rPr>
              <w:t>term interests and viability of the Reporting Entity, to align their interests with those of shareholders and other key stakeholders and to give these Directors appropriate incentives to perform at the highest levels.</w:t>
            </w:r>
            <w:bookmarkEnd w:id="167"/>
            <w:bookmarkEnd w:id="168"/>
          </w:p>
        </w:tc>
        <w:tc>
          <w:tcPr>
            <w:tcW w:w="2090" w:type="dxa"/>
            <w:shd w:val="clear" w:color="auto" w:fill="auto"/>
            <w:tcMar>
              <w:top w:w="57" w:type="dxa"/>
            </w:tcMar>
          </w:tcPr>
          <w:p w:rsidRPr="00F45AF5" w:rsidR="0014638B" w:rsidP="00D10E10" w:rsidRDefault="0014638B">
            <w:pPr>
              <w:rPr>
                <w:rFonts w:ascii="Arial" w:hAnsi="Arial" w:eastAsia="Times New Roman" w:cs="Arial"/>
                <w:szCs w:val="20"/>
                <w:lang w:val="en-US"/>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D10E10" w:rsidRDefault="0014638B">
            <w:pPr>
              <w:rPr>
                <w:rFonts w:ascii="Arial" w:hAnsi="Arial" w:eastAsia="Times New Roman" w:cs="Arial"/>
                <w:szCs w:val="20"/>
                <w:lang w:val="en-US"/>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D10E10">
        <w:trPr>
          <w:cantSplit/>
        </w:trPr>
        <w:tc>
          <w:tcPr>
            <w:tcW w:w="709" w:type="dxa"/>
            <w:tcBorders>
              <w:right w:val="nil"/>
            </w:tcBorders>
            <w:shd w:val="clear" w:color="auto" w:fill="auto"/>
            <w:tcMar>
              <w:top w:w="57" w:type="dxa"/>
            </w:tcMar>
          </w:tcPr>
          <w:p w:rsidRPr="00F45AF5" w:rsidR="0014638B" w:rsidP="00E838B3" w:rsidRDefault="00095D56">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67.</w:t>
            </w:r>
          </w:p>
        </w:tc>
        <w:tc>
          <w:tcPr>
            <w:tcW w:w="4441" w:type="dxa"/>
            <w:tcBorders>
              <w:left w:val="nil"/>
            </w:tcBorders>
            <w:shd w:val="clear" w:color="auto" w:fill="auto"/>
            <w:tcMar>
              <w:top w:w="57" w:type="dxa"/>
            </w:tcMar>
          </w:tcPr>
          <w:p w:rsidRPr="00F45AF5" w:rsidR="0014638B" w:rsidP="00C2006C" w:rsidRDefault="00095D56">
            <w:pPr>
              <w:tabs>
                <w:tab w:val="num" w:pos="1080"/>
              </w:tabs>
              <w:spacing w:after="0" w:line="240" w:lineRule="auto"/>
              <w:jc w:val="both"/>
              <w:rPr>
                <w:rFonts w:ascii="Arial" w:hAnsi="Arial" w:eastAsia="Times New Roman" w:cs="Arial"/>
                <w:szCs w:val="20"/>
                <w:lang w:val="en-US"/>
              </w:rPr>
            </w:pPr>
            <w:bookmarkStart w:name="_Toc287275506" w:id="169"/>
            <w:bookmarkStart w:name="_Toc287508849" w:id="170"/>
            <w:r w:rsidRPr="00F45AF5">
              <w:rPr>
                <w:rFonts w:ascii="Arial" w:hAnsi="Arial" w:cs="Arial"/>
                <w:szCs w:val="20"/>
              </w:rPr>
              <w:t>Levels of remuneration for non-executive Directors should reflect the time commitment and responsibilities of their respective roles and the objectivity of judgement in their decision making required by them.  In considering whether to grant share options to non-executive Directors, a Reporting Entity should consider whether the granting of the share options will impair the objectivity or independence of the non-executive Directors’ decision making.</w:t>
            </w:r>
            <w:bookmarkEnd w:id="169"/>
            <w:bookmarkEnd w:id="170"/>
          </w:p>
        </w:tc>
        <w:tc>
          <w:tcPr>
            <w:tcW w:w="2090" w:type="dxa"/>
            <w:shd w:val="clear" w:color="auto" w:fill="auto"/>
            <w:tcMar>
              <w:top w:w="57" w:type="dxa"/>
            </w:tcMar>
          </w:tcPr>
          <w:p w:rsidRPr="00F45AF5" w:rsidR="0014638B" w:rsidP="00D10E10" w:rsidRDefault="0014638B">
            <w:pPr>
              <w:rPr>
                <w:rFonts w:ascii="Arial" w:hAnsi="Arial" w:eastAsia="Times New Roman" w:cs="Arial"/>
                <w:szCs w:val="20"/>
                <w:lang w:val="en-US"/>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D10E10" w:rsidRDefault="0014638B">
            <w:pPr>
              <w:rPr>
                <w:rFonts w:ascii="Arial" w:hAnsi="Arial" w:eastAsia="Times New Roman" w:cs="Arial"/>
                <w:szCs w:val="20"/>
                <w:lang w:val="en-US"/>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095D56">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68.</w:t>
            </w:r>
          </w:p>
        </w:tc>
        <w:tc>
          <w:tcPr>
            <w:tcW w:w="4441" w:type="dxa"/>
            <w:tcBorders>
              <w:left w:val="nil"/>
            </w:tcBorders>
            <w:shd w:val="clear" w:color="auto" w:fill="auto"/>
            <w:tcMar>
              <w:top w:w="57" w:type="dxa"/>
            </w:tcMar>
          </w:tcPr>
          <w:p w:rsidRPr="00F45AF5" w:rsidR="0014638B" w:rsidP="00C2006C" w:rsidRDefault="00095D56">
            <w:pPr>
              <w:spacing w:after="0" w:line="240" w:lineRule="auto"/>
              <w:jc w:val="both"/>
              <w:rPr>
                <w:rFonts w:ascii="Arial" w:hAnsi="Arial" w:eastAsia="Times New Roman" w:cs="Arial"/>
                <w:szCs w:val="20"/>
                <w:lang w:val="en-US"/>
              </w:rPr>
            </w:pPr>
            <w:bookmarkStart w:name="_Toc287275507" w:id="171"/>
            <w:bookmarkStart w:name="_Toc287508850" w:id="172"/>
            <w:r w:rsidRPr="00F45AF5">
              <w:rPr>
                <w:rFonts w:ascii="Arial" w:hAnsi="Arial" w:cs="Arial"/>
                <w:szCs w:val="20"/>
              </w:rPr>
              <w:t>Generally, where non-executive Directors’ remuneration include share options, rights resulting from the exercise of share options should be subject to appropriate retention and vesting perio</w:t>
            </w:r>
            <w:r w:rsidR="00A676BF">
              <w:rPr>
                <w:rFonts w:ascii="Arial" w:hAnsi="Arial" w:cs="Arial"/>
                <w:szCs w:val="20"/>
              </w:rPr>
              <w:t>ds, generally until at least 1</w:t>
            </w:r>
            <w:r w:rsidRPr="00F45AF5">
              <w:rPr>
                <w:rFonts w:ascii="Arial" w:hAnsi="Arial" w:cs="Arial"/>
                <w:szCs w:val="20"/>
              </w:rPr>
              <w:t xml:space="preserve"> year after the non-executive Director leaves the Board. </w:t>
            </w:r>
            <w:bookmarkEnd w:id="171"/>
            <w:bookmarkEnd w:id="172"/>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095D56">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lastRenderedPageBreak/>
              <w:t>69.</w:t>
            </w:r>
          </w:p>
        </w:tc>
        <w:tc>
          <w:tcPr>
            <w:tcW w:w="4441" w:type="dxa"/>
            <w:tcBorders>
              <w:left w:val="nil"/>
            </w:tcBorders>
            <w:shd w:val="clear" w:color="auto" w:fill="auto"/>
            <w:tcMar>
              <w:top w:w="57" w:type="dxa"/>
            </w:tcMar>
          </w:tcPr>
          <w:p w:rsidRPr="00F45AF5" w:rsidR="0014638B" w:rsidP="00C2006C" w:rsidRDefault="00095D56">
            <w:pPr>
              <w:spacing w:after="0" w:line="240" w:lineRule="auto"/>
              <w:jc w:val="both"/>
              <w:rPr>
                <w:rFonts w:ascii="Arial" w:hAnsi="Arial" w:eastAsia="Times New Roman" w:cs="Arial"/>
                <w:szCs w:val="20"/>
                <w:lang w:val="en-US"/>
              </w:rPr>
            </w:pPr>
            <w:bookmarkStart w:name="_Toc287275510" w:id="173"/>
            <w:bookmarkStart w:name="_Toc287508853" w:id="174"/>
            <w:r w:rsidRPr="00F45AF5">
              <w:rPr>
                <w:rFonts w:ascii="Arial" w:hAnsi="Arial" w:cs="Arial"/>
                <w:szCs w:val="20"/>
              </w:rPr>
              <w:t>There should be a formal and transparent procedure for developing policies on executive remuneration and for fixing remuneration packages of individual Directors.  No Director should decide his own remuneration, and ideally, all Directors’ remuneration should be subject to recommendations of the remuneration committee if one exists, and otherwise upon the advice of an external consultant.</w:t>
            </w:r>
            <w:bookmarkEnd w:id="173"/>
            <w:bookmarkEnd w:id="174"/>
            <w:r w:rsidRPr="00F45AF5">
              <w:rPr>
                <w:rFonts w:ascii="Arial" w:hAnsi="Arial" w:cs="Arial"/>
                <w:szCs w:val="20"/>
              </w:rPr>
              <w:t xml:space="preserve">  </w:t>
            </w:r>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14638B">
            <w:pPr>
              <w:spacing w:after="0" w:line="240" w:lineRule="auto"/>
              <w:rPr>
                <w:rFonts w:ascii="Arial" w:hAnsi="Arial" w:eastAsia="Times New Roman" w:cs="Arial"/>
                <w:szCs w:val="20"/>
                <w:lang w:val="en-US"/>
              </w:rPr>
            </w:pPr>
          </w:p>
        </w:tc>
        <w:tc>
          <w:tcPr>
            <w:tcW w:w="4441" w:type="dxa"/>
            <w:tcBorders>
              <w:left w:val="nil"/>
            </w:tcBorders>
            <w:shd w:val="clear" w:color="auto" w:fill="auto"/>
            <w:tcMar>
              <w:top w:w="57" w:type="dxa"/>
            </w:tcMar>
          </w:tcPr>
          <w:p w:rsidRPr="00F45AF5" w:rsidR="0014638B" w:rsidRDefault="00095D56">
            <w:pPr>
              <w:spacing w:after="0" w:line="240" w:lineRule="auto"/>
              <w:rPr>
                <w:rFonts w:ascii="Arial" w:hAnsi="Arial" w:eastAsia="Times New Roman" w:cs="Arial"/>
                <w:szCs w:val="20"/>
                <w:lang w:val="en-US"/>
              </w:rPr>
            </w:pPr>
            <w:r w:rsidRPr="00F45AF5">
              <w:rPr>
                <w:rFonts w:ascii="Arial" w:hAnsi="Arial" w:cs="Arial"/>
                <w:b/>
                <w:color w:val="CC0000"/>
                <w:szCs w:val="20"/>
              </w:rPr>
              <w:t>Remuneration committee</w:t>
            </w:r>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095D56">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70.</w:t>
            </w:r>
          </w:p>
        </w:tc>
        <w:tc>
          <w:tcPr>
            <w:tcW w:w="4441" w:type="dxa"/>
            <w:tcBorders>
              <w:left w:val="nil"/>
            </w:tcBorders>
            <w:shd w:val="clear" w:color="auto" w:fill="auto"/>
            <w:tcMar>
              <w:top w:w="57" w:type="dxa"/>
            </w:tcMar>
          </w:tcPr>
          <w:p w:rsidRPr="00F45AF5" w:rsidR="0014638B" w:rsidP="00A676BF" w:rsidRDefault="00095D56">
            <w:pPr>
              <w:spacing w:after="0" w:line="240" w:lineRule="auto"/>
              <w:jc w:val="both"/>
              <w:rPr>
                <w:rFonts w:ascii="Arial" w:hAnsi="Arial" w:eastAsia="Times New Roman" w:cs="Arial"/>
                <w:szCs w:val="20"/>
                <w:lang w:val="en-US"/>
              </w:rPr>
            </w:pPr>
            <w:bookmarkStart w:name="_Toc287275511" w:id="175"/>
            <w:bookmarkStart w:name="_Toc287508854" w:id="176"/>
            <w:r w:rsidRPr="00F45AF5">
              <w:rPr>
                <w:rFonts w:ascii="Arial" w:hAnsi="Arial" w:cs="Arial"/>
                <w:szCs w:val="20"/>
              </w:rPr>
              <w:t xml:space="preserve">The Board should establish and maintain a remuneration committee to assess the remuneration of Directors (including the </w:t>
            </w:r>
            <w:r w:rsidR="00A676BF">
              <w:rPr>
                <w:rFonts w:ascii="Arial" w:hAnsi="Arial" w:cs="Arial"/>
                <w:szCs w:val="20"/>
              </w:rPr>
              <w:t>C</w:t>
            </w:r>
            <w:r w:rsidRPr="00F45AF5">
              <w:rPr>
                <w:rFonts w:ascii="Arial" w:hAnsi="Arial" w:cs="Arial"/>
                <w:szCs w:val="20"/>
              </w:rPr>
              <w:t>hairman).  The remuneration committe</w:t>
            </w:r>
            <w:r w:rsidR="00A676BF">
              <w:rPr>
                <w:rFonts w:ascii="Arial" w:hAnsi="Arial" w:cs="Arial"/>
                <w:szCs w:val="20"/>
              </w:rPr>
              <w:t>e should comprise at least 3</w:t>
            </w:r>
            <w:r w:rsidRPr="00F45AF5">
              <w:rPr>
                <w:rFonts w:ascii="Arial" w:hAnsi="Arial" w:cs="Arial"/>
                <w:szCs w:val="20"/>
              </w:rPr>
              <w:t xml:space="preserve"> members, with a majority of those members being independent non-executive Directors.  The chair of the committee should be an independent non-executi</w:t>
            </w:r>
            <w:r w:rsidR="00A676BF">
              <w:rPr>
                <w:rFonts w:ascii="Arial" w:hAnsi="Arial" w:cs="Arial"/>
                <w:szCs w:val="20"/>
              </w:rPr>
              <w:t>ve Director.  In addition, the C</w:t>
            </w:r>
            <w:r w:rsidRPr="00F45AF5">
              <w:rPr>
                <w:rFonts w:ascii="Arial" w:hAnsi="Arial" w:cs="Arial"/>
                <w:szCs w:val="20"/>
              </w:rPr>
              <w:t>hairman of the Board may also be a member but not the chair of the committee.</w:t>
            </w:r>
            <w:bookmarkEnd w:id="175"/>
            <w:bookmarkEnd w:id="176"/>
            <w:r w:rsidRPr="00F45AF5">
              <w:rPr>
                <w:rFonts w:ascii="Arial" w:hAnsi="Arial" w:cs="Arial"/>
                <w:szCs w:val="20"/>
              </w:rPr>
              <w:t xml:space="preserve">  </w:t>
            </w:r>
            <w:r w:rsidRPr="00F45AF5" w:rsidDel="00DC3F1B">
              <w:rPr>
                <w:rFonts w:ascii="Arial" w:hAnsi="Arial" w:eastAsia="Times New Roman" w:cs="Arial"/>
                <w:szCs w:val="20"/>
                <w:lang w:val="en-US"/>
              </w:rPr>
              <w:t xml:space="preserve"> </w:t>
            </w:r>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095D56">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71.</w:t>
            </w:r>
          </w:p>
        </w:tc>
        <w:tc>
          <w:tcPr>
            <w:tcW w:w="4441" w:type="dxa"/>
            <w:tcBorders>
              <w:left w:val="nil"/>
            </w:tcBorders>
            <w:shd w:val="clear" w:color="auto" w:fill="auto"/>
            <w:tcMar>
              <w:top w:w="57" w:type="dxa"/>
            </w:tcMar>
          </w:tcPr>
          <w:p w:rsidRPr="00F45AF5" w:rsidR="0014638B" w:rsidP="00C2006C" w:rsidRDefault="00095D56">
            <w:pPr>
              <w:spacing w:after="0" w:line="240" w:lineRule="auto"/>
              <w:jc w:val="both"/>
              <w:rPr>
                <w:rFonts w:ascii="Arial" w:hAnsi="Arial" w:eastAsia="Times New Roman" w:cs="Arial"/>
                <w:szCs w:val="20"/>
                <w:lang w:val="en-US"/>
              </w:rPr>
            </w:pPr>
            <w:bookmarkStart w:name="_Toc287275512" w:id="177"/>
            <w:bookmarkStart w:name="_Toc287508855" w:id="178"/>
            <w:r w:rsidRPr="00F45AF5">
              <w:rPr>
                <w:rFonts w:ascii="Arial" w:hAnsi="Arial" w:cs="Arial"/>
                <w:szCs w:val="20"/>
              </w:rPr>
              <w:t>The remuneration committee should have delegated responsibility for setting remuneration for a</w:t>
            </w:r>
            <w:r w:rsidR="00A676BF">
              <w:rPr>
                <w:rFonts w:ascii="Arial" w:hAnsi="Arial" w:cs="Arial"/>
                <w:szCs w:val="20"/>
              </w:rPr>
              <w:t>ll executive Directors and the C</w:t>
            </w:r>
            <w:r w:rsidRPr="00F45AF5">
              <w:rPr>
                <w:rFonts w:ascii="Arial" w:hAnsi="Arial" w:cs="Arial"/>
                <w:szCs w:val="20"/>
              </w:rPr>
              <w:t>hairman.  The committee should also recommend and monitor the level and structure of remuneration for the Senior Management and other key control functionaries such as the risk or compliance officers and auditors, to ensure that the independence and objectivity of the decision making by such control functionaries is not compromised or impaired by their remuneration structure.  An important consideration that should be taken into account in setting remuneration of key control functionaries of the Reporting Entity is that their remuneration is not substantially linked to the profits generated by business or trading units whose activities are subject to monitoring and oversight by those functionaries.</w:t>
            </w:r>
            <w:bookmarkEnd w:id="177"/>
            <w:bookmarkEnd w:id="178"/>
            <w:r w:rsidRPr="00F45AF5">
              <w:rPr>
                <w:rFonts w:ascii="Arial" w:hAnsi="Arial" w:cs="Arial"/>
                <w:szCs w:val="20"/>
              </w:rPr>
              <w:t xml:space="preserve"> </w:t>
            </w:r>
            <w:r w:rsidRPr="00F45AF5" w:rsidDel="00DC3F1B">
              <w:rPr>
                <w:rFonts w:ascii="Arial" w:hAnsi="Arial" w:eastAsia="Times New Roman" w:cs="Arial"/>
                <w:szCs w:val="20"/>
                <w:lang w:val="en-US"/>
              </w:rPr>
              <w:t xml:space="preserve"> </w:t>
            </w:r>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095D56">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72.</w:t>
            </w:r>
          </w:p>
        </w:tc>
        <w:tc>
          <w:tcPr>
            <w:tcW w:w="4441" w:type="dxa"/>
            <w:tcBorders>
              <w:left w:val="nil"/>
            </w:tcBorders>
            <w:shd w:val="clear" w:color="auto" w:fill="auto"/>
            <w:tcMar>
              <w:top w:w="57" w:type="dxa"/>
            </w:tcMar>
          </w:tcPr>
          <w:p w:rsidRPr="00F45AF5" w:rsidR="0014638B" w:rsidP="00C2006C" w:rsidRDefault="00095D56">
            <w:pPr>
              <w:spacing w:after="0" w:line="240" w:lineRule="auto"/>
              <w:jc w:val="both"/>
              <w:rPr>
                <w:rFonts w:ascii="Arial" w:hAnsi="Arial" w:eastAsia="Times New Roman" w:cs="Arial"/>
                <w:szCs w:val="20"/>
                <w:lang w:val="en-US"/>
              </w:rPr>
            </w:pPr>
            <w:bookmarkStart w:name="_Toc287275513" w:id="179"/>
            <w:bookmarkStart w:name="_Toc287508856" w:id="180"/>
            <w:r w:rsidRPr="00F45AF5">
              <w:rPr>
                <w:rFonts w:ascii="Arial" w:hAnsi="Arial" w:cs="Arial"/>
                <w:szCs w:val="20"/>
              </w:rPr>
              <w:t>The mandate, composition and working procedures of the remuneration committee should be well defined.  The remuneration committee should make available on the website of the Reporting Entity its written terms of reference explaining its role and the authority delegated to it by the Board.</w:t>
            </w:r>
            <w:bookmarkEnd w:id="179"/>
            <w:bookmarkEnd w:id="180"/>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095D56">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lastRenderedPageBreak/>
              <w:t>73.</w:t>
            </w:r>
          </w:p>
        </w:tc>
        <w:tc>
          <w:tcPr>
            <w:tcW w:w="4441" w:type="dxa"/>
            <w:tcBorders>
              <w:left w:val="nil"/>
            </w:tcBorders>
            <w:shd w:val="clear" w:color="auto" w:fill="auto"/>
            <w:tcMar>
              <w:top w:w="57" w:type="dxa"/>
            </w:tcMar>
          </w:tcPr>
          <w:p w:rsidRPr="00F45AF5" w:rsidR="0014638B" w:rsidP="00C2006C" w:rsidRDefault="00095D56">
            <w:pPr>
              <w:spacing w:after="0" w:line="240" w:lineRule="auto"/>
              <w:jc w:val="both"/>
              <w:rPr>
                <w:rFonts w:ascii="Arial" w:hAnsi="Arial" w:eastAsia="Times New Roman" w:cs="Arial"/>
                <w:szCs w:val="20"/>
                <w:lang w:val="en-US"/>
              </w:rPr>
            </w:pPr>
            <w:bookmarkStart w:name="_Toc287275514" w:id="181"/>
            <w:bookmarkStart w:name="_Toc287508857" w:id="182"/>
            <w:r w:rsidRPr="00F45AF5">
              <w:rPr>
                <w:rFonts w:ascii="Arial" w:hAnsi="Arial" w:cs="Arial"/>
                <w:szCs w:val="20"/>
              </w:rPr>
              <w:t>The remuneration committee should also be responsible for appointing any external consultants in respect of executive Directors’ remuneration.  Where external consultants are appointed, a statement should be made available of whether they have any other connection with the Reporting Entity.</w:t>
            </w:r>
            <w:bookmarkEnd w:id="181"/>
            <w:bookmarkEnd w:id="182"/>
            <w:r w:rsidRPr="00F45AF5">
              <w:rPr>
                <w:rFonts w:ascii="Arial" w:hAnsi="Arial" w:cs="Arial"/>
                <w:szCs w:val="20"/>
              </w:rPr>
              <w:t xml:space="preserve">  </w:t>
            </w:r>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right w:val="nil"/>
            </w:tcBorders>
            <w:shd w:val="clear" w:color="auto" w:fill="auto"/>
            <w:tcMar>
              <w:top w:w="57" w:type="dxa"/>
            </w:tcMar>
          </w:tcPr>
          <w:p w:rsidRPr="00F45AF5" w:rsidR="0014638B" w:rsidP="001D1B5B" w:rsidRDefault="00095D56">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74.</w:t>
            </w:r>
          </w:p>
        </w:tc>
        <w:tc>
          <w:tcPr>
            <w:tcW w:w="4441" w:type="dxa"/>
            <w:tcBorders>
              <w:left w:val="nil"/>
            </w:tcBorders>
            <w:shd w:val="clear" w:color="auto" w:fill="auto"/>
            <w:tcMar>
              <w:top w:w="57" w:type="dxa"/>
            </w:tcMar>
          </w:tcPr>
          <w:p w:rsidRPr="00F45AF5" w:rsidR="0014638B" w:rsidP="00C2006C" w:rsidRDefault="00095D56">
            <w:pPr>
              <w:spacing w:after="0" w:line="240" w:lineRule="auto"/>
              <w:jc w:val="both"/>
              <w:rPr>
                <w:rFonts w:ascii="Arial" w:hAnsi="Arial" w:eastAsia="Times New Roman" w:cs="Arial"/>
                <w:szCs w:val="20"/>
                <w:lang w:val="en-US"/>
              </w:rPr>
            </w:pPr>
            <w:bookmarkStart w:name="_Toc287275515" w:id="183"/>
            <w:bookmarkStart w:name="_Toc287508858" w:id="184"/>
            <w:r w:rsidRPr="00F45AF5">
              <w:rPr>
                <w:rFonts w:ascii="Arial" w:hAnsi="Arial" w:cs="Arial"/>
                <w:szCs w:val="20"/>
              </w:rPr>
              <w:t>The Board itself, or where required by the articles of association or other constituent documents, the shareholders, should determine the remuneration of the non-executive Directors.</w:t>
            </w:r>
            <w:bookmarkEnd w:id="183"/>
            <w:bookmarkEnd w:id="184"/>
            <w:r w:rsidRPr="00F45AF5">
              <w:rPr>
                <w:rFonts w:ascii="Arial" w:hAnsi="Arial" w:cs="Arial"/>
                <w:szCs w:val="20"/>
              </w:rPr>
              <w:t xml:space="preserve">  </w:t>
            </w:r>
          </w:p>
        </w:tc>
        <w:tc>
          <w:tcPr>
            <w:tcW w:w="2090"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shd w:val="clear" w:color="auto" w:fill="auto"/>
            <w:tcMar>
              <w:top w:w="57" w:type="dxa"/>
            </w:tcMar>
          </w:tcPr>
          <w:p w:rsidRPr="00F45AF5" w:rsidR="0014638B" w:rsidP="001D1B5B" w:rsidRDefault="0014638B">
            <w:pPr>
              <w:keepNext/>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r w:rsidRPr="00F45AF5" w:rsidR="0014638B" w:rsidTr="00C03C08">
        <w:trPr>
          <w:cantSplit/>
        </w:trPr>
        <w:tc>
          <w:tcPr>
            <w:tcW w:w="709" w:type="dxa"/>
            <w:tcBorders>
              <w:bottom w:val="single" w:color="auto" w:sz="4" w:space="0"/>
              <w:right w:val="nil"/>
            </w:tcBorders>
            <w:tcMar>
              <w:top w:w="57" w:type="dxa"/>
            </w:tcMar>
          </w:tcPr>
          <w:p w:rsidRPr="00F45AF5" w:rsidR="0014638B" w:rsidP="001D1B5B" w:rsidRDefault="00095D56">
            <w:pPr>
              <w:spacing w:after="0" w:line="240" w:lineRule="auto"/>
              <w:rPr>
                <w:rFonts w:ascii="Arial" w:hAnsi="Arial" w:eastAsia="Times New Roman" w:cs="Arial"/>
                <w:szCs w:val="20"/>
                <w:lang w:val="en-US"/>
              </w:rPr>
            </w:pPr>
            <w:r w:rsidRPr="00F45AF5">
              <w:rPr>
                <w:rFonts w:ascii="Arial" w:hAnsi="Arial" w:eastAsia="Times New Roman" w:cs="Arial"/>
                <w:szCs w:val="20"/>
                <w:lang w:val="en-US"/>
              </w:rPr>
              <w:t>75.</w:t>
            </w:r>
          </w:p>
        </w:tc>
        <w:tc>
          <w:tcPr>
            <w:tcW w:w="4441" w:type="dxa"/>
            <w:tcBorders>
              <w:left w:val="nil"/>
              <w:bottom w:val="single" w:color="auto" w:sz="4" w:space="0"/>
            </w:tcBorders>
            <w:tcMar>
              <w:top w:w="57" w:type="dxa"/>
            </w:tcMar>
          </w:tcPr>
          <w:p w:rsidRPr="00F45AF5" w:rsidR="0014638B" w:rsidP="00C2006C" w:rsidRDefault="00095D56">
            <w:pPr>
              <w:spacing w:after="0" w:line="240" w:lineRule="auto"/>
              <w:jc w:val="both"/>
              <w:rPr>
                <w:rFonts w:ascii="Arial" w:hAnsi="Arial" w:eastAsia="Times New Roman" w:cs="Arial"/>
                <w:szCs w:val="20"/>
                <w:lang w:val="en-US"/>
              </w:rPr>
            </w:pPr>
            <w:bookmarkStart w:name="_Toc287275516" w:id="185"/>
            <w:bookmarkStart w:name="_Toc287508859" w:id="186"/>
            <w:r w:rsidRPr="00F45AF5">
              <w:rPr>
                <w:rFonts w:ascii="Arial" w:hAnsi="Arial" w:cs="Arial"/>
                <w:szCs w:val="20"/>
              </w:rPr>
              <w:t>The annual report of the Reporting Entity should contain sufficient information relating to the overall remuneration policy and strategy of the Reporting Entity to demonstrate that the remuneration, particularly of the executive Directors and Senior Management to properly link rewards to corporate and individual performance and outcomes, and to ensure that any performance-based remuneration granted is structured in such a way so as to not induce inappropriate risk taking by such individuals.</w:t>
            </w:r>
            <w:bookmarkEnd w:id="185"/>
            <w:bookmarkEnd w:id="186"/>
            <w:r w:rsidRPr="00F45AF5">
              <w:rPr>
                <w:rFonts w:ascii="Arial" w:hAnsi="Arial" w:cs="Arial"/>
                <w:szCs w:val="20"/>
              </w:rPr>
              <w:t xml:space="preserve"> </w:t>
            </w:r>
          </w:p>
        </w:tc>
        <w:tc>
          <w:tcPr>
            <w:tcW w:w="2090" w:type="dxa"/>
            <w:tcBorders>
              <w:bottom w:val="single" w:color="auto" w:sz="4" w:space="0"/>
            </w:tcBorders>
            <w:tcMar>
              <w:top w:w="57" w:type="dxa"/>
            </w:tcMar>
          </w:tcPr>
          <w:p w:rsidRPr="00F45AF5" w:rsidR="0014638B" w:rsidP="001D1B5B" w:rsidRDefault="0014638B">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c>
          <w:tcPr>
            <w:tcW w:w="2031" w:type="dxa"/>
            <w:tcBorders>
              <w:bottom w:val="single" w:color="auto" w:sz="4" w:space="0"/>
            </w:tcBorders>
            <w:tcMar>
              <w:top w:w="57" w:type="dxa"/>
            </w:tcMar>
          </w:tcPr>
          <w:p w:rsidRPr="00F45AF5" w:rsidR="0014638B" w:rsidP="001D1B5B" w:rsidRDefault="0014638B">
            <w:pPr>
              <w:spacing w:before="40" w:after="40" w:line="240" w:lineRule="auto"/>
              <w:rPr>
                <w:rFonts w:ascii="Arial" w:hAnsi="Arial" w:eastAsia="Times New Roman" w:cs="Arial"/>
                <w:szCs w:val="20"/>
                <w:lang w:eastAsia="en-GB"/>
              </w:rPr>
            </w:pPr>
            <w:r w:rsidRPr="00F45AF5">
              <w:rPr>
                <w:rFonts w:ascii="Arial" w:hAnsi="Arial" w:eastAsia="Times New Roman" w:cs="Arial"/>
                <w:szCs w:val="20"/>
                <w:lang w:val="en-US"/>
              </w:rPr>
              <w:fldChar w:fldCharType="begin">
                <w:ffData>
                  <w:name w:val="Text176"/>
                  <w:enabled/>
                  <w:calcOnExit w:val="0"/>
                  <w:textInput/>
                </w:ffData>
              </w:fldChar>
            </w:r>
            <w:r w:rsidRPr="00F45AF5">
              <w:rPr>
                <w:rFonts w:ascii="Arial" w:hAnsi="Arial" w:eastAsia="Times New Roman" w:cs="Arial"/>
                <w:szCs w:val="20"/>
                <w:lang w:val="en-US"/>
              </w:rPr>
              <w:instrText xml:space="preserve"> FORMTEXT </w:instrText>
            </w:r>
            <w:r w:rsidRPr="00F45AF5">
              <w:rPr>
                <w:rFonts w:ascii="Arial" w:hAnsi="Arial" w:eastAsia="Times New Roman" w:cs="Arial"/>
                <w:szCs w:val="20"/>
                <w:lang w:val="en-US"/>
              </w:rPr>
            </w:r>
            <w:r w:rsidRPr="00F45AF5">
              <w:rPr>
                <w:rFonts w:ascii="Arial" w:hAnsi="Arial" w:eastAsia="Times New Roman" w:cs="Arial"/>
                <w:szCs w:val="20"/>
                <w:lang w:val="en-US"/>
              </w:rPr>
              <w:fldChar w:fldCharType="separate"/>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noProof/>
                <w:szCs w:val="20"/>
                <w:lang w:val="en-US"/>
              </w:rPr>
              <w:t> </w:t>
            </w:r>
            <w:r w:rsidRPr="00F45AF5">
              <w:rPr>
                <w:rFonts w:ascii="Arial" w:hAnsi="Arial" w:eastAsia="Times New Roman" w:cs="Arial"/>
                <w:szCs w:val="20"/>
                <w:lang w:val="en-US"/>
              </w:rPr>
              <w:fldChar w:fldCharType="end"/>
            </w:r>
          </w:p>
        </w:tc>
      </w:tr>
    </w:tbl>
    <w:p w:rsidR="00851FD8" w:rsidP="00426A66" w:rsidRDefault="00851FD8">
      <w:pPr>
        <w:spacing w:after="0" w:line="240" w:lineRule="auto"/>
        <w:rPr>
          <w:rFonts w:ascii="Arial" w:hAnsi="Arial" w:eastAsia="Times New Roman" w:cs="Times New Roman"/>
          <w:sz w:val="22"/>
          <w:lang w:val="en-US"/>
        </w:rPr>
      </w:pPr>
    </w:p>
    <w:p w:rsidRPr="00426A66" w:rsidR="00426A66" w:rsidP="003A5494" w:rsidRDefault="00851FD8">
      <w:pPr>
        <w:rPr>
          <w:rFonts w:ascii="Arial" w:hAnsi="Arial" w:eastAsia="Times New Roman" w:cs="Times New Roman"/>
          <w:sz w:val="22"/>
          <w:lang w:val="en-US"/>
        </w:rPr>
      </w:pPr>
      <w:r>
        <w:rPr>
          <w:rFonts w:ascii="Arial" w:hAnsi="Arial" w:eastAsia="Times New Roman" w:cs="Times New Roman"/>
          <w:sz w:val="22"/>
          <w:lang w:val="en-US"/>
        </w:rPr>
        <w:br w:type="page"/>
      </w:r>
    </w:p>
    <w:p w:rsidR="00426A66" w:rsidP="00426A66" w:rsidRDefault="00426A66">
      <w:pPr>
        <w:spacing w:after="0" w:line="240" w:lineRule="auto"/>
        <w:rPr>
          <w:rFonts w:ascii="Arial" w:hAnsi="Arial" w:eastAsia="Times New Roman" w:cs="Arial"/>
          <w:b/>
          <w:bCs/>
          <w:color w:val="CC0000"/>
          <w:sz w:val="22"/>
          <w:lang w:val="en-US"/>
        </w:rPr>
      </w:pPr>
      <w:r>
        <w:rPr>
          <w:rFonts w:ascii="Arial" w:hAnsi="Arial" w:eastAsia="Times New Roman" w:cs="Arial"/>
          <w:b/>
          <w:bCs/>
          <w:color w:val="CC0000"/>
          <w:sz w:val="22"/>
          <w:lang w:val="en-US"/>
        </w:rPr>
        <w:lastRenderedPageBreak/>
        <w:t xml:space="preserve">Non-applicability Confirmation </w:t>
      </w:r>
    </w:p>
    <w:p w:rsidRPr="00426A66" w:rsidR="00426A66" w:rsidP="00426A66" w:rsidRDefault="00426A66">
      <w:pPr>
        <w:spacing w:after="0" w:line="240" w:lineRule="auto"/>
        <w:rPr>
          <w:rFonts w:ascii="Arial" w:hAnsi="Arial" w:eastAsia="Times New Roman" w:cs="Times New Roman"/>
          <w:b/>
          <w:bCs/>
          <w:sz w:val="22"/>
          <w:lang w:val="en-US"/>
        </w:rPr>
      </w:pPr>
    </w:p>
    <w:p w:rsidRPr="00426A66" w:rsidR="00426A66" w:rsidP="00426A66" w:rsidRDefault="00426A66">
      <w:pPr>
        <w:spacing w:after="0" w:line="240" w:lineRule="auto"/>
        <w:rPr>
          <w:rFonts w:ascii="Arial" w:hAnsi="Arial" w:eastAsia="Times New Roman" w:cs="Times New Roman"/>
          <w:sz w:val="22"/>
          <w:lang w:val="en-US"/>
        </w:rPr>
      </w:pPr>
    </w:p>
    <w:p w:rsidR="00426A66" w:rsidP="00C52CE2" w:rsidRDefault="00426A66">
      <w:pPr>
        <w:spacing w:after="0" w:line="240" w:lineRule="auto"/>
        <w:jc w:val="both"/>
        <w:rPr>
          <w:rFonts w:ascii="Arial" w:hAnsi="Arial" w:eastAsia="Times New Roman" w:cs="Times New Roman"/>
          <w:sz w:val="22"/>
          <w:lang w:val="en-US"/>
        </w:rPr>
      </w:pPr>
      <w:r w:rsidRPr="00426A66">
        <w:rPr>
          <w:rFonts w:ascii="Arial" w:hAnsi="Arial" w:eastAsia="Times New Roman" w:cs="Times New Roman"/>
          <w:sz w:val="22"/>
          <w:lang w:val="en-US"/>
        </w:rPr>
        <w:t>We inform you that items marked “N/A” in the Page Reference column of the above checklist are considered not applicable and no equivalent information is available in relation to the enclosed document.</w:t>
      </w:r>
    </w:p>
    <w:p w:rsidRPr="00426A66" w:rsidR="00426A66" w:rsidP="00426A66" w:rsidRDefault="00426A66">
      <w:pPr>
        <w:spacing w:after="0" w:line="240" w:lineRule="auto"/>
        <w:rPr>
          <w:rFonts w:ascii="Arial" w:hAnsi="Arial" w:eastAsia="Times New Roman" w:cs="Times New Roman"/>
          <w:b/>
          <w:bCs/>
          <w:sz w:val="22"/>
          <w:lang w:val="en-US"/>
        </w:rPr>
      </w:pPr>
    </w:p>
    <w:tbl>
      <w:tblPr>
        <w:tblW w:w="9356"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104"/>
        <w:gridCol w:w="4252"/>
      </w:tblGrid>
      <w:tr w:rsidRPr="00426A66" w:rsidR="00426A66" w:rsidTr="00D10E10">
        <w:trPr>
          <w:cantSplit/>
          <w:tblHeader/>
        </w:trPr>
        <w:tc>
          <w:tcPr>
            <w:tcW w:w="5104" w:type="dxa"/>
            <w:shd w:val="clear" w:color="auto" w:fill="FFFFFF"/>
            <w:tcMar>
              <w:top w:w="57" w:type="dxa"/>
            </w:tcMar>
          </w:tcPr>
          <w:p w:rsidR="00426A66" w:rsidP="00426A66" w:rsidRDefault="00426A66">
            <w:pPr>
              <w:spacing w:after="0" w:line="240" w:lineRule="auto"/>
              <w:rPr>
                <w:rFonts w:ascii="Arial" w:hAnsi="Arial" w:eastAsia="Times New Roman" w:cs="Times New Roman"/>
                <w:sz w:val="22"/>
              </w:rPr>
            </w:pPr>
            <w:r w:rsidRPr="00426A66">
              <w:rPr>
                <w:rFonts w:ascii="Arial" w:hAnsi="Arial" w:eastAsia="Times New Roman" w:cs="Times New Roman"/>
                <w:sz w:val="22"/>
              </w:rPr>
              <w:t>Signed by</w:t>
            </w:r>
          </w:p>
          <w:p w:rsidR="00A676BF" w:rsidP="00426A66" w:rsidRDefault="00A676BF">
            <w:pPr>
              <w:spacing w:after="0" w:line="240" w:lineRule="auto"/>
              <w:rPr>
                <w:rFonts w:ascii="Arial" w:hAnsi="Arial" w:eastAsia="Times New Roman" w:cs="Times New Roman"/>
                <w:sz w:val="22"/>
              </w:rPr>
            </w:pPr>
          </w:p>
          <w:p w:rsidRPr="00426A66" w:rsidR="00A676BF" w:rsidP="00426A66" w:rsidRDefault="00A676BF">
            <w:pPr>
              <w:spacing w:after="0" w:line="240" w:lineRule="auto"/>
              <w:rPr>
                <w:rFonts w:ascii="Arial" w:hAnsi="Arial" w:eastAsia="Times New Roman" w:cs="Times New Roman"/>
                <w:sz w:val="22"/>
              </w:rPr>
            </w:pPr>
          </w:p>
        </w:tc>
        <w:tc>
          <w:tcPr>
            <w:tcW w:w="4252" w:type="dxa"/>
            <w:shd w:val="clear" w:color="auto" w:fill="FFFFFF"/>
            <w:tcMar>
              <w:top w:w="57" w:type="dxa"/>
            </w:tcMar>
          </w:tcPr>
          <w:p w:rsidRPr="00426A66" w:rsidR="00426A66" w:rsidP="00426A66" w:rsidRDefault="00426A66">
            <w:pPr>
              <w:spacing w:after="0" w:line="240" w:lineRule="auto"/>
              <w:rPr>
                <w:rFonts w:ascii="Arial" w:hAnsi="Arial" w:eastAsia="Times New Roman" w:cs="Times New Roman"/>
                <w:sz w:val="22"/>
              </w:rPr>
            </w:pPr>
            <w:r w:rsidRPr="00426A66">
              <w:rPr>
                <w:rFonts w:ascii="Arial" w:hAnsi="Arial" w:eastAsia="Times New Roman" w:cs="Times New Roman"/>
                <w:sz w:val="22"/>
                <w:lang w:val="en-US"/>
              </w:rPr>
              <w:fldChar w:fldCharType="begin">
                <w:ffData>
                  <w:name w:val="Text176"/>
                  <w:enabled/>
                  <w:calcOnExit w:val="0"/>
                  <w:textInput/>
                </w:ffData>
              </w:fldChar>
            </w:r>
            <w:r w:rsidRPr="00426A66">
              <w:rPr>
                <w:rFonts w:ascii="Arial" w:hAnsi="Arial" w:eastAsia="Times New Roman" w:cs="Times New Roman"/>
                <w:sz w:val="22"/>
                <w:lang w:val="en-US"/>
              </w:rPr>
              <w:instrText xml:space="preserve"> FORMTEXT </w:instrText>
            </w:r>
            <w:r w:rsidRPr="00426A66">
              <w:rPr>
                <w:rFonts w:ascii="Arial" w:hAnsi="Arial" w:eastAsia="Times New Roman" w:cs="Times New Roman"/>
                <w:sz w:val="22"/>
                <w:lang w:val="en-US"/>
              </w:rPr>
            </w:r>
            <w:r w:rsidRPr="00426A66">
              <w:rPr>
                <w:rFonts w:ascii="Arial" w:hAnsi="Arial" w:eastAsia="Times New Roman" w:cs="Times New Roman"/>
                <w:sz w:val="22"/>
                <w:lang w:val="en-US"/>
              </w:rPr>
              <w:fldChar w:fldCharType="separate"/>
            </w:r>
            <w:r w:rsidRPr="00426A66">
              <w:rPr>
                <w:rFonts w:ascii="Arial" w:hAnsi="Arial" w:eastAsia="Times New Roman" w:cs="Times New Roman"/>
                <w:sz w:val="22"/>
                <w:lang w:val="en-US"/>
              </w:rPr>
              <w:t> </w:t>
            </w:r>
            <w:r w:rsidRPr="00426A66">
              <w:rPr>
                <w:rFonts w:ascii="Arial" w:hAnsi="Arial" w:eastAsia="Times New Roman" w:cs="Times New Roman"/>
                <w:sz w:val="22"/>
                <w:lang w:val="en-US"/>
              </w:rPr>
              <w:t> </w:t>
            </w:r>
            <w:r w:rsidRPr="00426A66">
              <w:rPr>
                <w:rFonts w:ascii="Arial" w:hAnsi="Arial" w:eastAsia="Times New Roman" w:cs="Times New Roman"/>
                <w:sz w:val="22"/>
                <w:lang w:val="en-US"/>
              </w:rPr>
              <w:t> </w:t>
            </w:r>
            <w:r w:rsidRPr="00426A66">
              <w:rPr>
                <w:rFonts w:ascii="Arial" w:hAnsi="Arial" w:eastAsia="Times New Roman" w:cs="Times New Roman"/>
                <w:sz w:val="22"/>
                <w:lang w:val="en-US"/>
              </w:rPr>
              <w:t> </w:t>
            </w:r>
            <w:r w:rsidRPr="00426A66">
              <w:rPr>
                <w:rFonts w:ascii="Arial" w:hAnsi="Arial" w:eastAsia="Times New Roman" w:cs="Times New Roman"/>
                <w:sz w:val="22"/>
                <w:lang w:val="en-US"/>
              </w:rPr>
              <w:t> </w:t>
            </w:r>
            <w:r w:rsidRPr="00426A66">
              <w:rPr>
                <w:rFonts w:ascii="Arial" w:hAnsi="Arial" w:eastAsia="Times New Roman" w:cs="Times New Roman"/>
                <w:sz w:val="22"/>
                <w:lang w:val="en-US"/>
              </w:rPr>
              <w:fldChar w:fldCharType="end"/>
            </w:r>
          </w:p>
        </w:tc>
      </w:tr>
      <w:tr w:rsidRPr="00426A66" w:rsidR="00426A66" w:rsidTr="00D10E10">
        <w:trPr>
          <w:cantSplit/>
          <w:tblHeader/>
        </w:trPr>
        <w:tc>
          <w:tcPr>
            <w:tcW w:w="5104" w:type="dxa"/>
            <w:shd w:val="clear" w:color="auto" w:fill="FFFFFF"/>
            <w:tcMar>
              <w:top w:w="57" w:type="dxa"/>
            </w:tcMar>
          </w:tcPr>
          <w:p w:rsidR="00426A66" w:rsidP="00426A66" w:rsidRDefault="00426A66">
            <w:pPr>
              <w:spacing w:after="0" w:line="240" w:lineRule="auto"/>
              <w:rPr>
                <w:rFonts w:ascii="Arial" w:hAnsi="Arial" w:eastAsia="Times New Roman" w:cs="Times New Roman"/>
                <w:sz w:val="22"/>
              </w:rPr>
            </w:pPr>
            <w:r w:rsidRPr="00426A66">
              <w:rPr>
                <w:rFonts w:ascii="Arial" w:hAnsi="Arial" w:eastAsia="Times New Roman" w:cs="Times New Roman"/>
                <w:sz w:val="22"/>
              </w:rPr>
              <w:t>On behalf of</w:t>
            </w:r>
          </w:p>
          <w:p w:rsidR="00A676BF" w:rsidP="00426A66" w:rsidRDefault="00A676BF">
            <w:pPr>
              <w:spacing w:after="0" w:line="240" w:lineRule="auto"/>
              <w:rPr>
                <w:rFonts w:ascii="Arial" w:hAnsi="Arial" w:eastAsia="Times New Roman" w:cs="Times New Roman"/>
                <w:sz w:val="22"/>
              </w:rPr>
            </w:pPr>
          </w:p>
          <w:p w:rsidRPr="00426A66" w:rsidR="00A676BF" w:rsidP="00426A66" w:rsidRDefault="00A676BF">
            <w:pPr>
              <w:spacing w:after="0" w:line="240" w:lineRule="auto"/>
              <w:rPr>
                <w:rFonts w:ascii="Arial" w:hAnsi="Arial" w:eastAsia="Times New Roman" w:cs="Times New Roman"/>
                <w:sz w:val="22"/>
              </w:rPr>
            </w:pPr>
          </w:p>
        </w:tc>
        <w:tc>
          <w:tcPr>
            <w:tcW w:w="4252" w:type="dxa"/>
            <w:shd w:val="clear" w:color="auto" w:fill="FFFFFF"/>
            <w:tcMar>
              <w:top w:w="57" w:type="dxa"/>
            </w:tcMar>
          </w:tcPr>
          <w:p w:rsidRPr="00426A66" w:rsidR="00426A66" w:rsidP="00426A66" w:rsidRDefault="00426A66">
            <w:pPr>
              <w:spacing w:after="0" w:line="240" w:lineRule="auto"/>
              <w:rPr>
                <w:rFonts w:ascii="Arial" w:hAnsi="Arial" w:eastAsia="Times New Roman" w:cs="Times New Roman"/>
                <w:sz w:val="22"/>
              </w:rPr>
            </w:pPr>
            <w:r w:rsidRPr="00426A66">
              <w:rPr>
                <w:rFonts w:ascii="Arial" w:hAnsi="Arial" w:eastAsia="Times New Roman" w:cs="Times New Roman"/>
                <w:sz w:val="22"/>
                <w:lang w:val="en-US"/>
              </w:rPr>
              <w:fldChar w:fldCharType="begin">
                <w:ffData>
                  <w:name w:val="Text176"/>
                  <w:enabled/>
                  <w:calcOnExit w:val="0"/>
                  <w:textInput/>
                </w:ffData>
              </w:fldChar>
            </w:r>
            <w:r w:rsidRPr="00426A66">
              <w:rPr>
                <w:rFonts w:ascii="Arial" w:hAnsi="Arial" w:eastAsia="Times New Roman" w:cs="Times New Roman"/>
                <w:sz w:val="22"/>
                <w:lang w:val="en-US"/>
              </w:rPr>
              <w:instrText xml:space="preserve"> FORMTEXT </w:instrText>
            </w:r>
            <w:r w:rsidRPr="00426A66">
              <w:rPr>
                <w:rFonts w:ascii="Arial" w:hAnsi="Arial" w:eastAsia="Times New Roman" w:cs="Times New Roman"/>
                <w:sz w:val="22"/>
                <w:lang w:val="en-US"/>
              </w:rPr>
            </w:r>
            <w:r w:rsidRPr="00426A66">
              <w:rPr>
                <w:rFonts w:ascii="Arial" w:hAnsi="Arial" w:eastAsia="Times New Roman" w:cs="Times New Roman"/>
                <w:sz w:val="22"/>
                <w:lang w:val="en-US"/>
              </w:rPr>
              <w:fldChar w:fldCharType="separate"/>
            </w:r>
            <w:r w:rsidRPr="00426A66">
              <w:rPr>
                <w:rFonts w:ascii="Arial" w:hAnsi="Arial" w:eastAsia="Times New Roman" w:cs="Times New Roman"/>
                <w:sz w:val="22"/>
                <w:lang w:val="en-US"/>
              </w:rPr>
              <w:t> </w:t>
            </w:r>
            <w:r w:rsidRPr="00426A66">
              <w:rPr>
                <w:rFonts w:ascii="Arial" w:hAnsi="Arial" w:eastAsia="Times New Roman" w:cs="Times New Roman"/>
                <w:sz w:val="22"/>
                <w:lang w:val="en-US"/>
              </w:rPr>
              <w:t> </w:t>
            </w:r>
            <w:r w:rsidRPr="00426A66">
              <w:rPr>
                <w:rFonts w:ascii="Arial" w:hAnsi="Arial" w:eastAsia="Times New Roman" w:cs="Times New Roman"/>
                <w:sz w:val="22"/>
                <w:lang w:val="en-US"/>
              </w:rPr>
              <w:t> </w:t>
            </w:r>
            <w:r w:rsidRPr="00426A66">
              <w:rPr>
                <w:rFonts w:ascii="Arial" w:hAnsi="Arial" w:eastAsia="Times New Roman" w:cs="Times New Roman"/>
                <w:sz w:val="22"/>
                <w:lang w:val="en-US"/>
              </w:rPr>
              <w:t> </w:t>
            </w:r>
            <w:r w:rsidRPr="00426A66">
              <w:rPr>
                <w:rFonts w:ascii="Arial" w:hAnsi="Arial" w:eastAsia="Times New Roman" w:cs="Times New Roman"/>
                <w:sz w:val="22"/>
                <w:lang w:val="en-US"/>
              </w:rPr>
              <w:t> </w:t>
            </w:r>
            <w:r w:rsidRPr="00426A66">
              <w:rPr>
                <w:rFonts w:ascii="Arial" w:hAnsi="Arial" w:eastAsia="Times New Roman" w:cs="Times New Roman"/>
                <w:sz w:val="22"/>
                <w:lang w:val="en-US"/>
              </w:rPr>
              <w:fldChar w:fldCharType="end"/>
            </w:r>
          </w:p>
        </w:tc>
      </w:tr>
    </w:tbl>
    <w:p w:rsidRPr="001D1B5B" w:rsidR="001D1B5B" w:rsidP="001D1B5B" w:rsidRDefault="001D1B5B">
      <w:pPr>
        <w:spacing w:after="0" w:line="240" w:lineRule="auto"/>
        <w:rPr>
          <w:rFonts w:ascii="Arial" w:hAnsi="Arial" w:eastAsia="Times New Roman" w:cs="Times New Roman"/>
          <w:sz w:val="22"/>
          <w:lang w:val="en-US"/>
        </w:rPr>
      </w:pPr>
    </w:p>
    <w:p w:rsidRPr="001D1B5B" w:rsidR="00E40927" w:rsidP="001D1B5B" w:rsidRDefault="00E40927">
      <w:pPr>
        <w:spacing w:after="0" w:line="240" w:lineRule="auto"/>
        <w:rPr>
          <w:rFonts w:ascii="Arial" w:hAnsi="Arial" w:eastAsia="Times New Roman" w:cs="Times New Roman"/>
          <w:b/>
          <w:sz w:val="22"/>
          <w:lang w:val="en-US"/>
        </w:rPr>
      </w:pPr>
    </w:p>
    <w:sectPr w:rsidRPr="001D1B5B" w:rsidR="00E40927" w:rsidSect="00AC1D02">
      <w:headerReference w:type="default" r:id="rId9"/>
      <w:footerReference w:type="default" r:id="rId10"/>
      <w:pgSz w:w="12240" w:h="15840"/>
      <w:pgMar w:top="1668" w:right="1800" w:bottom="1440" w:left="1800" w:header="720" w:footer="3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58E" w:rsidRDefault="00D5458E">
      <w:r>
        <w:separator/>
      </w:r>
    </w:p>
  </w:endnote>
  <w:endnote w:type="continuationSeparator" w:id="0">
    <w:p w:rsidR="00D5458E" w:rsidRDefault="00D5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T 45 Light">
    <w:altName w:val="Malgun Gothic"/>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238322"/>
      <w:docPartObj>
        <w:docPartGallery w:val="Page Numbers (Top of Page)"/>
        <w:docPartUnique/>
      </w:docPartObj>
    </w:sdtPr>
    <w:sdtEndPr>
      <w:rPr>
        <w:rStyle w:val="PageNumber"/>
        <w:rFonts w:ascii="Arial" w:hAnsi="Arial"/>
        <w:noProof/>
        <w:color w:val="CC0000"/>
        <w:lang w:val="en-US"/>
      </w:rPr>
    </w:sdtEndPr>
    <w:sdtContent>
      <w:p w:rsidR="00D5458E" w:rsidRPr="009F06CD" w:rsidRDefault="00D5458E" w:rsidP="00F45AF5">
        <w:pPr>
          <w:pStyle w:val="Header"/>
          <w:tabs>
            <w:tab w:val="clear" w:pos="4320"/>
            <w:tab w:val="clear" w:pos="8640"/>
            <w:tab w:val="left" w:pos="3840"/>
          </w:tabs>
          <w:ind w:right="-716"/>
          <w:jc w:val="center"/>
          <w:rPr>
            <w:rFonts w:ascii="Arial" w:hAnsi="Arial" w:cs="Arial"/>
            <w:color w:val="CC0000"/>
            <w:lang w:val="en-US"/>
          </w:rPr>
        </w:pPr>
        <w:r>
          <w:t xml:space="preserve">                              </w:t>
        </w:r>
        <w:r w:rsidRPr="009F06CD">
          <w:rPr>
            <w:rStyle w:val="PageNumber"/>
            <w:rFonts w:ascii="Arial" w:hAnsi="Arial"/>
            <w:color w:val="CC0000"/>
            <w:lang w:val="en-US"/>
          </w:rPr>
          <w:fldChar w:fldCharType="begin"/>
        </w:r>
        <w:r w:rsidRPr="009F06CD">
          <w:rPr>
            <w:rStyle w:val="PageNumber"/>
            <w:rFonts w:ascii="Arial" w:hAnsi="Arial"/>
            <w:color w:val="CC0000"/>
            <w:lang w:val="en-US"/>
          </w:rPr>
          <w:instrText xml:space="preserve"> PAGE </w:instrText>
        </w:r>
        <w:r w:rsidRPr="009F06CD">
          <w:rPr>
            <w:rStyle w:val="PageNumber"/>
            <w:rFonts w:ascii="Arial" w:hAnsi="Arial"/>
            <w:color w:val="CC0000"/>
            <w:lang w:val="en-US"/>
          </w:rPr>
          <w:fldChar w:fldCharType="separate"/>
        </w:r>
        <w:r w:rsidR="00D25D0F">
          <w:rPr>
            <w:rStyle w:val="PageNumber"/>
            <w:rFonts w:ascii="Arial" w:hAnsi="Arial"/>
            <w:noProof/>
            <w:color w:val="CC0000"/>
            <w:lang w:val="en-US"/>
          </w:rPr>
          <w:t>2</w:t>
        </w:r>
        <w:r w:rsidRPr="009F06CD">
          <w:rPr>
            <w:rStyle w:val="PageNumber"/>
            <w:rFonts w:ascii="Arial" w:hAnsi="Arial"/>
            <w:color w:val="CC0000"/>
            <w:lang w:val="en-US"/>
          </w:rPr>
          <w:fldChar w:fldCharType="end"/>
        </w:r>
        <w:r w:rsidRPr="009F06CD">
          <w:rPr>
            <w:rStyle w:val="PageNumber"/>
            <w:rFonts w:ascii="Arial" w:hAnsi="Arial"/>
            <w:color w:val="CC0000"/>
            <w:lang w:val="en-US"/>
          </w:rPr>
          <w:t xml:space="preserve"> of </w:t>
        </w:r>
        <w:r w:rsidRPr="009F06CD">
          <w:rPr>
            <w:rStyle w:val="PageNumber"/>
            <w:rFonts w:ascii="Arial" w:hAnsi="Arial"/>
            <w:color w:val="CC0000"/>
            <w:lang w:val="en-US"/>
          </w:rPr>
          <w:fldChar w:fldCharType="begin"/>
        </w:r>
        <w:r w:rsidRPr="009F06CD">
          <w:rPr>
            <w:rStyle w:val="PageNumber"/>
            <w:rFonts w:ascii="Arial" w:hAnsi="Arial"/>
            <w:color w:val="CC0000"/>
            <w:lang w:val="en-US"/>
          </w:rPr>
          <w:instrText xml:space="preserve"> NUMPAGES </w:instrText>
        </w:r>
        <w:r w:rsidRPr="009F06CD">
          <w:rPr>
            <w:rStyle w:val="PageNumber"/>
            <w:rFonts w:ascii="Arial" w:hAnsi="Arial"/>
            <w:color w:val="CC0000"/>
            <w:lang w:val="en-US"/>
          </w:rPr>
          <w:fldChar w:fldCharType="separate"/>
        </w:r>
        <w:r w:rsidR="00D25D0F">
          <w:rPr>
            <w:rStyle w:val="PageNumber"/>
            <w:rFonts w:ascii="Arial" w:hAnsi="Arial"/>
            <w:noProof/>
            <w:color w:val="CC0000"/>
            <w:lang w:val="en-US"/>
          </w:rPr>
          <w:t>21</w:t>
        </w:r>
        <w:r w:rsidRPr="009F06CD">
          <w:rPr>
            <w:rStyle w:val="PageNumber"/>
            <w:rFonts w:ascii="Arial" w:hAnsi="Arial"/>
            <w:color w:val="CC0000"/>
            <w:lang w:val="en-US"/>
          </w:rPr>
          <w:fldChar w:fldCharType="end"/>
        </w:r>
        <w:r w:rsidRPr="009F06CD">
          <w:rPr>
            <w:rStyle w:val="PageNumber"/>
            <w:rFonts w:ascii="Arial" w:hAnsi="Arial"/>
            <w:color w:val="CC0000"/>
            <w:lang w:val="en-US"/>
          </w:rPr>
          <w:tab/>
        </w:r>
        <w:r>
          <w:rPr>
            <w:rFonts w:ascii="Arial" w:hAnsi="Arial" w:cs="Arial"/>
            <w:noProof/>
            <w:color w:val="CC0000"/>
            <w:lang w:eastAsia="en-GB"/>
          </w:rPr>
          <mc:AlternateContent>
            <mc:Choice Requires="wps">
              <w:drawing>
                <wp:anchor distT="0" distB="0" distL="114300" distR="114300" simplePos="0" relativeHeight="251661312" behindDoc="0" locked="0" layoutInCell="1" allowOverlap="1" wp14:anchorId="2F89F9C3" wp14:editId="5B3F8235">
                  <wp:simplePos x="0" y="0"/>
                  <wp:positionH relativeFrom="column">
                    <wp:posOffset>-457200</wp:posOffset>
                  </wp:positionH>
                  <wp:positionV relativeFrom="paragraph">
                    <wp:posOffset>-21590</wp:posOffset>
                  </wp:positionV>
                  <wp:extent cx="6400800" cy="0"/>
                  <wp:effectExtent l="28575" t="35560" r="28575" b="311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OYHwIAADoEAAAOAAAAZHJzL2Uyb0RvYy54bWysU8GO2jAQvVfqP1i+QxIaWDYirKoEetl2&#10;kZZ+gLEdYq1jW7YhoKr/3rEhiG0vVdUcnLE98/xm5s3i6dRJdOTWCa1KnI1TjLiimgm1L/H37Xo0&#10;x8h5ohiRWvESn7nDT8uPHxa9KfhEt1oybhGAKFf0psSt96ZIEkdb3hE31oYruGy07YiHrd0nzJIe&#10;0DuZTNJ0lvTaMmM15c7BaX25xMuI3zSc+pemcdwjWWLg5uNq47oLa7JckGJviWkFvdIg/8CiI0LB&#10;ozeomniCDlb8AdUJarXTjR9T3SW6aQTlMQfIJkt/y+a1JYbHXKA4ztzK5P4fLP123FgkWIknGCnS&#10;QYueheJoEirTG1eAQ6U2NuRGT+rVPGv65pDSVUvUnkeG27OBsCxEJO9CwsYZwN/1XzUDH3LwOpbp&#10;1NguQEIB0Cl243zrBj95ROFwlqfpPIWm0eEuIcUQaKzzX7juUDBKLIFzBCbHZ+cDEVIMLuEdpddC&#10;ythsqVBf4ulDNg3QnYHUfSvUFgTwFiGcloIF9xDo7H5XSYuOBARUVSl8MU+4uXez+qBYhG85Yaur&#10;7YmQFxvoSBXwIDkgeLUuCvnxmD6u5qt5Psons9UoT+t69Hld5aPZOnuY1p/qqqqzn4FalhetYIyr&#10;wG5Qa5b/nRquc3PR2U2vt8Ik79FjBYHs8I+kY3dDQy/S2Gl23tih6yDQ6HwdpjAB93uw70d++QsA&#10;AP//AwBQSwMEFAAGAAgAAAAhACIQT97gAAAACQEAAA8AAABkcnMvZG93bnJldi54bWxMj0FLw0AQ&#10;he+C/2EZwUtpN6bS2JhNEUG8Kaal0ts2O2aD2dmQ3bapv94RD3qbefN4871iNbpOHHEIrScFN7ME&#10;BFLtTUuNgs36aXoHIkRNRneeUMEZA6zKy4tC58af6A2PVWwEh1DItQIbY59LGWqLToeZ75H49uEH&#10;pyOvQyPNoE8c7jqZJslCOt0Sf7C6x0eL9Wd1cAret+Nku3tNl+4ly74mVdo/n+1Oqeur8eEeRMQx&#10;/pnhB5/RoWSmvT+QCaJTMM1S7hJ5mN+CYMNyvmBh/yvIspD/G5TfAAAA//8DAFBLAQItABQABgAI&#10;AAAAIQC2gziS/gAAAOEBAAATAAAAAAAAAAAAAAAAAAAAAABbQ29udGVudF9UeXBlc10ueG1sUEsB&#10;Ai0AFAAGAAgAAAAhADj9If/WAAAAlAEAAAsAAAAAAAAAAAAAAAAALwEAAF9yZWxzLy5yZWxzUEsB&#10;Ai0AFAAGAAgAAAAhAGsB45gfAgAAOgQAAA4AAAAAAAAAAAAAAAAALgIAAGRycy9lMm9Eb2MueG1s&#10;UEsBAi0AFAAGAAgAAAAhACIQT97gAAAACQEAAA8AAAAAAAAAAAAAAAAAeQQAAGRycy9kb3ducmV2&#10;LnhtbFBLBQYAAAAABAAEAPMAAACGBQAAAAA=&#10;" strokecolor="#c00" strokeweight="4.5pt">
                  <v:stroke linestyle="thinThick"/>
                </v:line>
              </w:pict>
            </mc:Fallback>
          </mc:AlternateContent>
        </w:r>
      </w:p>
      <w:p w:rsidR="00D5458E" w:rsidRDefault="00D25D0F" w:rsidP="00C03C08">
        <w:pPr>
          <w:pStyle w:val="Footer"/>
          <w:jc w:val="center"/>
          <w:rPr>
            <w:rStyle w:val="PageNumber"/>
            <w:rFonts w:ascii="Arial" w:hAnsi="Arial"/>
            <w:noProof/>
            <w:color w:val="CC0000"/>
            <w:lang w:val="en-US"/>
          </w:rPr>
        </w:pPr>
      </w:p>
    </w:sdtContent>
  </w:sdt>
  <w:p w:rsidR="00D5458E" w:rsidRDefault="00D5458E" w:rsidP="00C03C08">
    <w:pPr>
      <w:pStyle w:val="Footer"/>
    </w:pPr>
  </w:p>
  <w:p w:rsidR="00D5458E" w:rsidRDefault="00D54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58E" w:rsidRDefault="00D5458E">
      <w:r>
        <w:separator/>
      </w:r>
    </w:p>
  </w:footnote>
  <w:footnote w:type="continuationSeparator" w:id="0">
    <w:p w:rsidR="00D5458E" w:rsidRDefault="00D54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58E" w:rsidRDefault="00D5458E" w:rsidP="00C03C08">
    <w:pPr>
      <w:pStyle w:val="Header"/>
      <w:tabs>
        <w:tab w:val="right" w:pos="9360"/>
      </w:tabs>
      <w:spacing w:after="0"/>
      <w:ind w:right="-1165"/>
      <w:jc w:val="right"/>
    </w:pPr>
    <w:r>
      <w:rPr>
        <w:noProof/>
        <w:lang w:eastAsia="en-GB"/>
      </w:rPr>
      <w:drawing>
        <wp:inline distT="0" distB="0" distL="0" distR="0" wp14:anchorId="6DCE87D2" wp14:editId="273D7089">
          <wp:extent cx="933450" cy="581025"/>
          <wp:effectExtent l="0" t="0" r="0" b="9525"/>
          <wp:docPr id="1" name="Picture 1" descr="D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81025"/>
                  </a:xfrm>
                  <a:prstGeom prst="rect">
                    <a:avLst/>
                  </a:prstGeom>
                  <a:noFill/>
                  <a:ln>
                    <a:noFill/>
                  </a:ln>
                </pic:spPr>
              </pic:pic>
            </a:graphicData>
          </a:graphic>
        </wp:inline>
      </w:drawing>
    </w:r>
  </w:p>
  <w:p w:rsidR="00D5458E" w:rsidRPr="0052465F" w:rsidRDefault="00D5458E" w:rsidP="0052465F">
    <w:pPr>
      <w:pStyle w:val="Header"/>
      <w:tabs>
        <w:tab w:val="right" w:pos="9360"/>
      </w:tabs>
      <w:ind w:right="-858"/>
      <w:jc w:val="right"/>
      <w:rPr>
        <w:rFonts w:ascii="Arial" w:hAnsi="Arial" w:cs="Arial"/>
        <w:b/>
        <w:color w:val="CC0000"/>
        <w:szCs w:val="20"/>
      </w:rPr>
    </w:pPr>
    <w:r>
      <w:rPr>
        <w:rFonts w:ascii="Arial" w:hAnsi="Arial" w:cs="Arial"/>
        <w:noProof/>
        <w:color w:val="CC0000"/>
        <w:lang w:eastAsia="en-GB"/>
      </w:rPr>
      <mc:AlternateContent>
        <mc:Choice Requires="wps">
          <w:drawing>
            <wp:anchor distT="0" distB="0" distL="114300" distR="114300" simplePos="0" relativeHeight="251659264" behindDoc="0" locked="0" layoutInCell="1" allowOverlap="1" wp14:anchorId="7B130B29" wp14:editId="24A02A78">
              <wp:simplePos x="0" y="0"/>
              <wp:positionH relativeFrom="column">
                <wp:posOffset>-342900</wp:posOffset>
              </wp:positionH>
              <wp:positionV relativeFrom="paragraph">
                <wp:posOffset>215900</wp:posOffset>
              </wp:positionV>
              <wp:extent cx="6400800" cy="0"/>
              <wp:effectExtent l="0" t="19050" r="19050" b="381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pt" to="47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aBIQIAADoEAAAOAAAAZHJzL2Uyb0RvYy54bWysU8uO2jAU3VfqP1jeQxImMExEGFUJdENb&#10;pKEfYGyHWOPYlm0IqOq/99o8WjqbUdUsHD/OPT733uPZ87GT6MCtE1qVOBumGHFFNRNqV+Lvm+Vg&#10;ipHzRDEiteIlPnGHn+cfP8x6U/CRbrVk3CIgUa7oTYlb702RJI62vCNuqA1XcNho2xEPS7tLmCU9&#10;sHcyGaXpJOm1ZcZqyp2D3fp8iOeRv2k49d+axnGPZIlBm4+jjeM2jMl8RoqdJaYV9CKD/IOKjggF&#10;l96oauIJ2lvxhqoT1GqnGz+kukt00wjKYw6QTZb+lc1LSwyPuUBxnLmVyf0/Wvr1sLZIsBI/YKRI&#10;By1aCcVRFirTG1cAoFJrG3KjR/ViVpq+OqR01RK141Hh5mQgLEYkdyFh4Qzwb/svmgGG7L2OZTo2&#10;tguUUAB0jN043brBjx5R2JzkaTpNoWn0epaQ4hporPOfue5QmJRYguZITA4r50E6QK+QcI/SSyFl&#10;bLZUqC/x+DEbB+rOQOq+FWoDBniNFE5LwQI8BDq721bSogMBA1VVCl+oDNDfwazeKxbpW07Y4jL3&#10;RMjzHPBSBT5IDgReZmeH/HhKnxbTxTQf5KPJYpCndT34tKzywWSZPY7rh7qq6uxnkJblRSsY4yqo&#10;u7o1y9/nhsu7Ofvs5tdbYZJ79pgiiL3+o+jY3dDQszW2mp3WNlQjNBoMGsGXxxRewJ/riPr95Oe/&#10;AAAA//8DAFBLAwQUAAYACAAAACEA3X0myd8AAAAJAQAADwAAAGRycy9kb3ducmV2LnhtbEyPQU/D&#10;MAyF70j8h8hIXKYtpcDGStMJISFuTHRoaLesMU1F41RNtnX8ejw4wMny89Pz9/LF4Fqxxz40nhRc&#10;TRIQSJU3DdUK3lZP4zsQIWoyuvWECo4YYFGcn+U6M/5Ar7gvYy04hEKmFdgYu0zKUFl0Okx8h8S3&#10;D987HXnta2l6feBw18o0SabS6Yb4g9UdPlqsPsudU/C+HkbrzTKdu5fZ7GtUpt3z0W6UurwYHu5B&#10;RBzinxlO+IwOBTNt/Y5MEK2C8e0Nd4kKrk+TDfMfYfsryCKX/xsU3wAAAP//AwBQSwECLQAUAAYA&#10;CAAAACEAtoM4kv4AAADhAQAAEwAAAAAAAAAAAAAAAAAAAAAAW0NvbnRlbnRfVHlwZXNdLnhtbFBL&#10;AQItABQABgAIAAAAIQA4/SH/1gAAAJQBAAALAAAAAAAAAAAAAAAAAC8BAABfcmVscy8ucmVsc1BL&#10;AQItABQABgAIAAAAIQDBzEaBIQIAADoEAAAOAAAAAAAAAAAAAAAAAC4CAABkcnMvZTJvRG9jLnht&#10;bFBLAQItABQABgAIAAAAIQDdfSbJ3wAAAAkBAAAPAAAAAAAAAAAAAAAAAHsEAABkcnMvZG93bnJl&#10;di54bWxQSwUGAAAAAAQABADzAAAAhwUAAAAA&#10;" strokecolor="#c00" strokeweight="4.5pt">
              <v:stroke linestyle="thinThick"/>
            </v:line>
          </w:pict>
        </mc:Fallback>
      </mc:AlternateContent>
    </w:r>
    <w:r w:rsidRPr="004B605E">
      <w:rPr>
        <w:rFonts w:ascii="Arial" w:hAnsi="Arial" w:cs="Arial"/>
        <w:b/>
        <w:color w:val="CC0000"/>
      </w:rPr>
      <w:t xml:space="preserve"> </w:t>
    </w:r>
    <w:r w:rsidRPr="0052465F">
      <w:rPr>
        <w:rFonts w:ascii="Arial" w:hAnsi="Arial" w:cs="Arial"/>
        <w:b/>
        <w:color w:val="CC0000"/>
        <w:szCs w:val="20"/>
      </w:rPr>
      <w:t xml:space="preserve">Corporate Governance Standards Checklist </w:t>
    </w:r>
  </w:p>
  <w:p w:rsidR="00D5458E" w:rsidRDefault="00D545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501"/>
    <w:multiLevelType w:val="hybridMultilevel"/>
    <w:tmpl w:val="1BEC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77CE7"/>
    <w:multiLevelType w:val="multilevel"/>
    <w:tmpl w:val="87184A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B766D3"/>
    <w:multiLevelType w:val="hybridMultilevel"/>
    <w:tmpl w:val="6A5E0F3E"/>
    <w:lvl w:ilvl="0" w:tplc="1D3E19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F920DDF"/>
    <w:multiLevelType w:val="hybridMultilevel"/>
    <w:tmpl w:val="C3D8BE24"/>
    <w:lvl w:ilvl="0" w:tplc="1C22C20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FF60C8F"/>
    <w:multiLevelType w:val="hybridMultilevel"/>
    <w:tmpl w:val="B2FE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910A43"/>
    <w:multiLevelType w:val="hybridMultilevel"/>
    <w:tmpl w:val="CD6A1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3F276E"/>
    <w:multiLevelType w:val="multilevel"/>
    <w:tmpl w:val="F3CC94B6"/>
    <w:lvl w:ilvl="0">
      <w:start w:val="2"/>
      <w:numFmt w:val="decimal"/>
      <w:lvlText w:val="%1"/>
      <w:lvlJc w:val="left"/>
      <w:pPr>
        <w:tabs>
          <w:tab w:val="num" w:pos="720"/>
        </w:tabs>
        <w:ind w:left="720" w:hanging="720"/>
      </w:pPr>
      <w:rPr>
        <w:b/>
      </w:rPr>
    </w:lvl>
    <w:lvl w:ilvl="1">
      <w:start w:val="2"/>
      <w:numFmt w:val="decimal"/>
      <w:lvlText w:val="%1.%2"/>
      <w:lvlJc w:val="left"/>
      <w:pPr>
        <w:tabs>
          <w:tab w:val="num" w:pos="720"/>
        </w:tabs>
        <w:ind w:left="720" w:hanging="720"/>
      </w:pPr>
      <w:rPr>
        <w:b/>
        <w:color w:val="CC000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7">
    <w:nsid w:val="15ED4890"/>
    <w:multiLevelType w:val="hybridMultilevel"/>
    <w:tmpl w:val="616495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EE548C"/>
    <w:multiLevelType w:val="hybridMultilevel"/>
    <w:tmpl w:val="AEEE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FD45E9"/>
    <w:multiLevelType w:val="hybridMultilevel"/>
    <w:tmpl w:val="71182B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904FD8"/>
    <w:multiLevelType w:val="hybridMultilevel"/>
    <w:tmpl w:val="8BC2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C16466"/>
    <w:multiLevelType w:val="hybridMultilevel"/>
    <w:tmpl w:val="B85ACF1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671DD4"/>
    <w:multiLevelType w:val="hybridMultilevel"/>
    <w:tmpl w:val="0D3067D8"/>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nsid w:val="28310C42"/>
    <w:multiLevelType w:val="hybridMultilevel"/>
    <w:tmpl w:val="17347CA2"/>
    <w:lvl w:ilvl="0" w:tplc="0809000F">
      <w:start w:val="1"/>
      <w:numFmt w:val="decimal"/>
      <w:lvlText w:val="%1."/>
      <w:lvlJc w:val="left"/>
      <w:pPr>
        <w:tabs>
          <w:tab w:val="num" w:pos="720"/>
        </w:tabs>
        <w:ind w:left="720" w:hanging="360"/>
      </w:pPr>
    </w:lvl>
    <w:lvl w:ilvl="1" w:tplc="1C22C20C">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8FD23A1"/>
    <w:multiLevelType w:val="hybridMultilevel"/>
    <w:tmpl w:val="1E840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441017"/>
    <w:multiLevelType w:val="hybridMultilevel"/>
    <w:tmpl w:val="89F4DE58"/>
    <w:lvl w:ilvl="0" w:tplc="6CFA33F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926810C0">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0C22E5C"/>
    <w:multiLevelType w:val="hybridMultilevel"/>
    <w:tmpl w:val="77BCF124"/>
    <w:lvl w:ilvl="0" w:tplc="552CEE02">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8C6F7C"/>
    <w:multiLevelType w:val="multilevel"/>
    <w:tmpl w:val="80584E9A"/>
    <w:lvl w:ilvl="0">
      <w:start w:val="2"/>
      <w:numFmt w:val="decimal"/>
      <w:lvlText w:val="%1"/>
      <w:lvlJc w:val="left"/>
      <w:pPr>
        <w:tabs>
          <w:tab w:val="num" w:pos="585"/>
        </w:tabs>
        <w:ind w:left="585" w:hanging="585"/>
      </w:pPr>
      <w:rPr>
        <w:b/>
      </w:rPr>
    </w:lvl>
    <w:lvl w:ilvl="1">
      <w:start w:val="5"/>
      <w:numFmt w:val="decimal"/>
      <w:lvlText w:val="%1.%2"/>
      <w:lvlJc w:val="left"/>
      <w:pPr>
        <w:tabs>
          <w:tab w:val="num" w:pos="585"/>
        </w:tabs>
        <w:ind w:left="585" w:hanging="585"/>
      </w:pPr>
      <w:rPr>
        <w:b/>
        <w:color w:val="CC000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8">
    <w:nsid w:val="333C3F39"/>
    <w:multiLevelType w:val="hybridMultilevel"/>
    <w:tmpl w:val="5438780A"/>
    <w:lvl w:ilvl="0" w:tplc="0809000F">
      <w:start w:val="1"/>
      <w:numFmt w:val="decimal"/>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9">
    <w:nsid w:val="3B0E53E8"/>
    <w:multiLevelType w:val="hybridMultilevel"/>
    <w:tmpl w:val="FE768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C8D36B4"/>
    <w:multiLevelType w:val="hybridMultilevel"/>
    <w:tmpl w:val="A5369D7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3F12A79"/>
    <w:multiLevelType w:val="hybridMultilevel"/>
    <w:tmpl w:val="BBF88944"/>
    <w:lvl w:ilvl="0" w:tplc="F5160B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7E314EC"/>
    <w:multiLevelType w:val="hybridMultilevel"/>
    <w:tmpl w:val="3D22C9D2"/>
    <w:lvl w:ilvl="0" w:tplc="B406DB22">
      <w:start w:val="1"/>
      <w:numFmt w:val="decimal"/>
      <w:lvlText w:val="%1."/>
      <w:lvlJc w:val="left"/>
      <w:pPr>
        <w:tabs>
          <w:tab w:val="num" w:pos="1008"/>
        </w:tabs>
        <w:ind w:left="1008" w:hanging="648"/>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4E1788"/>
    <w:multiLevelType w:val="hybridMultilevel"/>
    <w:tmpl w:val="084EE8B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4">
    <w:nsid w:val="4A3F21CD"/>
    <w:multiLevelType w:val="hybridMultilevel"/>
    <w:tmpl w:val="4C2C8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970728"/>
    <w:multiLevelType w:val="hybridMultilevel"/>
    <w:tmpl w:val="17347CA2"/>
    <w:lvl w:ilvl="0" w:tplc="0809000F">
      <w:start w:val="1"/>
      <w:numFmt w:val="decimal"/>
      <w:lvlText w:val="%1."/>
      <w:lvlJc w:val="left"/>
      <w:pPr>
        <w:tabs>
          <w:tab w:val="num" w:pos="720"/>
        </w:tabs>
        <w:ind w:left="720" w:hanging="360"/>
      </w:pPr>
    </w:lvl>
    <w:lvl w:ilvl="1" w:tplc="1C22C20C">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4E9B5E7D"/>
    <w:multiLevelType w:val="hybridMultilevel"/>
    <w:tmpl w:val="5FF264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F5D60E9"/>
    <w:multiLevelType w:val="hybridMultilevel"/>
    <w:tmpl w:val="49BCFF14"/>
    <w:lvl w:ilvl="0" w:tplc="F942EB3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C864FD"/>
    <w:multiLevelType w:val="hybridMultilevel"/>
    <w:tmpl w:val="575E2FF0"/>
    <w:lvl w:ilvl="0" w:tplc="5BF4F8A6">
      <w:start w:val="1"/>
      <w:numFmt w:val="bullet"/>
      <w:lvlText w:val=""/>
      <w:lvlJc w:val="left"/>
      <w:pPr>
        <w:ind w:left="984" w:hanging="360"/>
      </w:pPr>
      <w:rPr>
        <w:rFonts w:ascii="Symbol" w:hAnsi="Symbol" w:hint="default"/>
        <w:b w:val="0"/>
        <w:bCs w:val="0"/>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9">
    <w:nsid w:val="4FF4078E"/>
    <w:multiLevelType w:val="hybridMultilevel"/>
    <w:tmpl w:val="F7422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20E307F"/>
    <w:multiLevelType w:val="hybridMultilevel"/>
    <w:tmpl w:val="9ED6E7EC"/>
    <w:lvl w:ilvl="0" w:tplc="EC900DD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2A25230"/>
    <w:multiLevelType w:val="hybridMultilevel"/>
    <w:tmpl w:val="17347CA2"/>
    <w:lvl w:ilvl="0" w:tplc="0809000F">
      <w:start w:val="1"/>
      <w:numFmt w:val="decimal"/>
      <w:lvlText w:val="%1."/>
      <w:lvlJc w:val="left"/>
      <w:pPr>
        <w:tabs>
          <w:tab w:val="num" w:pos="720"/>
        </w:tabs>
        <w:ind w:left="720" w:hanging="360"/>
      </w:pPr>
    </w:lvl>
    <w:lvl w:ilvl="1" w:tplc="1C22C20C">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56F3FB0"/>
    <w:multiLevelType w:val="hybridMultilevel"/>
    <w:tmpl w:val="2B944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5953189B"/>
    <w:multiLevelType w:val="hybridMultilevel"/>
    <w:tmpl w:val="AD96E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BBB4FE9"/>
    <w:multiLevelType w:val="hybridMultilevel"/>
    <w:tmpl w:val="649084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E2870A2"/>
    <w:multiLevelType w:val="hybridMultilevel"/>
    <w:tmpl w:val="9BDA9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EEA0CF7"/>
    <w:multiLevelType w:val="hybridMultilevel"/>
    <w:tmpl w:val="17347CA2"/>
    <w:lvl w:ilvl="0" w:tplc="0809000F">
      <w:start w:val="1"/>
      <w:numFmt w:val="decimal"/>
      <w:lvlText w:val="%1."/>
      <w:lvlJc w:val="left"/>
      <w:pPr>
        <w:tabs>
          <w:tab w:val="num" w:pos="720"/>
        </w:tabs>
        <w:ind w:left="720" w:hanging="360"/>
      </w:pPr>
    </w:lvl>
    <w:lvl w:ilvl="1" w:tplc="1C22C20C">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12D5521"/>
    <w:multiLevelType w:val="hybridMultilevel"/>
    <w:tmpl w:val="3602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2913349"/>
    <w:multiLevelType w:val="hybridMultilevel"/>
    <w:tmpl w:val="51AC9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2952FD5"/>
    <w:multiLevelType w:val="hybridMultilevel"/>
    <w:tmpl w:val="35685A9A"/>
    <w:lvl w:ilvl="0" w:tplc="1C22C20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68152AAA"/>
    <w:multiLevelType w:val="hybridMultilevel"/>
    <w:tmpl w:val="FC2C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D7979DE"/>
    <w:multiLevelType w:val="hybridMultilevel"/>
    <w:tmpl w:val="03D2CA8E"/>
    <w:lvl w:ilvl="0" w:tplc="1C22C20C">
      <w:start w:val="1"/>
      <w:numFmt w:val="lowerLetter"/>
      <w:lvlText w:val="%1."/>
      <w:lvlJc w:val="left"/>
      <w:pPr>
        <w:tabs>
          <w:tab w:val="num" w:pos="1800"/>
        </w:tabs>
        <w:ind w:left="1800" w:hanging="360"/>
      </w:pPr>
      <w:rPr>
        <w:rFonts w:hint="default"/>
      </w:rPr>
    </w:lvl>
    <w:lvl w:ilvl="1" w:tplc="08090019">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2">
    <w:nsid w:val="6DBD3A9C"/>
    <w:multiLevelType w:val="hybridMultilevel"/>
    <w:tmpl w:val="17347CA2"/>
    <w:lvl w:ilvl="0" w:tplc="0809000F">
      <w:start w:val="1"/>
      <w:numFmt w:val="decimal"/>
      <w:lvlText w:val="%1."/>
      <w:lvlJc w:val="left"/>
      <w:pPr>
        <w:tabs>
          <w:tab w:val="num" w:pos="720"/>
        </w:tabs>
        <w:ind w:left="720" w:hanging="360"/>
      </w:pPr>
    </w:lvl>
    <w:lvl w:ilvl="1" w:tplc="1C22C20C">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72E03DD4"/>
    <w:multiLevelType w:val="hybridMultilevel"/>
    <w:tmpl w:val="84C277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5EA6722"/>
    <w:multiLevelType w:val="hybridMultilevel"/>
    <w:tmpl w:val="7F241458"/>
    <w:lvl w:ilvl="0" w:tplc="1C22C20C">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5">
    <w:nsid w:val="7A0A321C"/>
    <w:multiLevelType w:val="hybridMultilevel"/>
    <w:tmpl w:val="D8A4C444"/>
    <w:lvl w:ilvl="0" w:tplc="5F42C8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BD30EFB"/>
    <w:multiLevelType w:val="hybridMultilevel"/>
    <w:tmpl w:val="B77E0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30"/>
  </w:num>
  <w:num w:numId="3">
    <w:abstractNumId w:val="30"/>
  </w:num>
  <w:num w:numId="4">
    <w:abstractNumId w:val="10"/>
  </w:num>
  <w:num w:numId="5">
    <w:abstractNumId w:val="4"/>
  </w:num>
  <w:num w:numId="6">
    <w:abstractNumId w:val="37"/>
  </w:num>
  <w:num w:numId="7">
    <w:abstractNumId w:val="0"/>
  </w:num>
  <w:num w:numId="8">
    <w:abstractNumId w:val="22"/>
  </w:num>
  <w:num w:numId="9">
    <w:abstractNumId w:val="19"/>
  </w:num>
  <w:num w:numId="10">
    <w:abstractNumId w:val="5"/>
  </w:num>
  <w:num w:numId="11">
    <w:abstractNumId w:val="7"/>
  </w:num>
  <w:num w:numId="12">
    <w:abstractNumId w:val="8"/>
  </w:num>
  <w:num w:numId="13">
    <w:abstractNumId w:val="15"/>
  </w:num>
  <w:num w:numId="14">
    <w:abstractNumId w:val="28"/>
  </w:num>
  <w:num w:numId="15">
    <w:abstractNumId w:val="16"/>
  </w:num>
  <w:num w:numId="16">
    <w:abstractNumId w:val="34"/>
  </w:num>
  <w:num w:numId="17">
    <w:abstractNumId w:val="21"/>
  </w:num>
  <w:num w:numId="18">
    <w:abstractNumId w:val="6"/>
  </w:num>
  <w:num w:numId="19">
    <w:abstractNumId w:val="1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43"/>
  </w:num>
  <w:num w:numId="23">
    <w:abstractNumId w:val="11"/>
  </w:num>
  <w:num w:numId="24">
    <w:abstractNumId w:val="32"/>
  </w:num>
  <w:num w:numId="25">
    <w:abstractNumId w:val="9"/>
  </w:num>
  <w:num w:numId="26">
    <w:abstractNumId w:val="24"/>
  </w:num>
  <w:num w:numId="27">
    <w:abstractNumId w:val="27"/>
  </w:num>
  <w:num w:numId="28">
    <w:abstractNumId w:val="12"/>
  </w:num>
  <w:num w:numId="29">
    <w:abstractNumId w:val="33"/>
  </w:num>
  <w:num w:numId="30">
    <w:abstractNumId w:val="18"/>
  </w:num>
  <w:num w:numId="31">
    <w:abstractNumId w:val="29"/>
  </w:num>
  <w:num w:numId="32">
    <w:abstractNumId w:val="14"/>
  </w:num>
  <w:num w:numId="33">
    <w:abstractNumId w:val="2"/>
  </w:num>
  <w:num w:numId="34">
    <w:abstractNumId w:val="1"/>
  </w:num>
  <w:num w:numId="35">
    <w:abstractNumId w:val="45"/>
  </w:num>
  <w:num w:numId="36">
    <w:abstractNumId w:val="23"/>
  </w:num>
  <w:num w:numId="37">
    <w:abstractNumId w:val="26"/>
  </w:num>
  <w:num w:numId="38">
    <w:abstractNumId w:val="35"/>
  </w:num>
  <w:num w:numId="39">
    <w:abstractNumId w:val="42"/>
  </w:num>
  <w:num w:numId="40">
    <w:abstractNumId w:val="39"/>
  </w:num>
  <w:num w:numId="41">
    <w:abstractNumId w:val="41"/>
  </w:num>
  <w:num w:numId="42">
    <w:abstractNumId w:val="3"/>
  </w:num>
  <w:num w:numId="43">
    <w:abstractNumId w:val="25"/>
  </w:num>
  <w:num w:numId="44">
    <w:abstractNumId w:val="13"/>
  </w:num>
  <w:num w:numId="45">
    <w:abstractNumId w:val="44"/>
  </w:num>
  <w:num w:numId="46">
    <w:abstractNumId w:val="31"/>
  </w:num>
  <w:num w:numId="47">
    <w:abstractNumId w:val="36"/>
  </w:num>
  <w:num w:numId="48">
    <w:abstractNumId w:val="46"/>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IjGBGdRbMzvKNKUETeMJFPzrTfY=" w:salt="nJT7yXLf8lOAkvGyIx9iUw=="/>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B5B"/>
    <w:rsid w:val="000064F2"/>
    <w:rsid w:val="00014394"/>
    <w:rsid w:val="000162E2"/>
    <w:rsid w:val="00016537"/>
    <w:rsid w:val="000250B2"/>
    <w:rsid w:val="00027E68"/>
    <w:rsid w:val="00033D4A"/>
    <w:rsid w:val="00035D4E"/>
    <w:rsid w:val="00040FF2"/>
    <w:rsid w:val="000449D6"/>
    <w:rsid w:val="00044CDE"/>
    <w:rsid w:val="00057F2A"/>
    <w:rsid w:val="0006342E"/>
    <w:rsid w:val="0007427F"/>
    <w:rsid w:val="000838A9"/>
    <w:rsid w:val="00086CEE"/>
    <w:rsid w:val="00095D56"/>
    <w:rsid w:val="000A49DB"/>
    <w:rsid w:val="000E7987"/>
    <w:rsid w:val="000F18CE"/>
    <w:rsid w:val="000F7AF2"/>
    <w:rsid w:val="00104BEE"/>
    <w:rsid w:val="00106AD3"/>
    <w:rsid w:val="00130CA1"/>
    <w:rsid w:val="0014638B"/>
    <w:rsid w:val="00167B56"/>
    <w:rsid w:val="00171DC6"/>
    <w:rsid w:val="0017312C"/>
    <w:rsid w:val="00187ED5"/>
    <w:rsid w:val="001A3C98"/>
    <w:rsid w:val="001D083A"/>
    <w:rsid w:val="001D1385"/>
    <w:rsid w:val="001D1B5B"/>
    <w:rsid w:val="001F5B4B"/>
    <w:rsid w:val="00204398"/>
    <w:rsid w:val="00221989"/>
    <w:rsid w:val="00226BE0"/>
    <w:rsid w:val="002368C5"/>
    <w:rsid w:val="002374BD"/>
    <w:rsid w:val="00244A83"/>
    <w:rsid w:val="002608D7"/>
    <w:rsid w:val="00264EF4"/>
    <w:rsid w:val="0026519C"/>
    <w:rsid w:val="002735C3"/>
    <w:rsid w:val="00277656"/>
    <w:rsid w:val="00282A91"/>
    <w:rsid w:val="002921EB"/>
    <w:rsid w:val="00297E04"/>
    <w:rsid w:val="002D2BB1"/>
    <w:rsid w:val="002D4AC4"/>
    <w:rsid w:val="002D6707"/>
    <w:rsid w:val="002F510E"/>
    <w:rsid w:val="002F52C2"/>
    <w:rsid w:val="00305D51"/>
    <w:rsid w:val="0031084B"/>
    <w:rsid w:val="00313B71"/>
    <w:rsid w:val="0032290B"/>
    <w:rsid w:val="00322E42"/>
    <w:rsid w:val="0032428D"/>
    <w:rsid w:val="00325AE4"/>
    <w:rsid w:val="0032791A"/>
    <w:rsid w:val="00330D03"/>
    <w:rsid w:val="00332292"/>
    <w:rsid w:val="003417D2"/>
    <w:rsid w:val="00350207"/>
    <w:rsid w:val="003526FA"/>
    <w:rsid w:val="0035444D"/>
    <w:rsid w:val="00355274"/>
    <w:rsid w:val="00363CD3"/>
    <w:rsid w:val="00364991"/>
    <w:rsid w:val="003723A2"/>
    <w:rsid w:val="0037543B"/>
    <w:rsid w:val="0037665C"/>
    <w:rsid w:val="00387DB6"/>
    <w:rsid w:val="003A4A5E"/>
    <w:rsid w:val="003A5494"/>
    <w:rsid w:val="003B221B"/>
    <w:rsid w:val="003B2701"/>
    <w:rsid w:val="003C2566"/>
    <w:rsid w:val="003E3E60"/>
    <w:rsid w:val="003E677A"/>
    <w:rsid w:val="003F4934"/>
    <w:rsid w:val="003F59FD"/>
    <w:rsid w:val="003F60D6"/>
    <w:rsid w:val="004005C8"/>
    <w:rsid w:val="00403A88"/>
    <w:rsid w:val="004056B1"/>
    <w:rsid w:val="00417CB9"/>
    <w:rsid w:val="0042410C"/>
    <w:rsid w:val="00425392"/>
    <w:rsid w:val="00425ADC"/>
    <w:rsid w:val="00426A66"/>
    <w:rsid w:val="004640E3"/>
    <w:rsid w:val="0046626C"/>
    <w:rsid w:val="0046721E"/>
    <w:rsid w:val="004755C2"/>
    <w:rsid w:val="004844DD"/>
    <w:rsid w:val="004875CE"/>
    <w:rsid w:val="00491C4A"/>
    <w:rsid w:val="00492E1D"/>
    <w:rsid w:val="004942F8"/>
    <w:rsid w:val="00494DA0"/>
    <w:rsid w:val="004A5F02"/>
    <w:rsid w:val="004A7F27"/>
    <w:rsid w:val="004B293D"/>
    <w:rsid w:val="004C3FEA"/>
    <w:rsid w:val="004C72BA"/>
    <w:rsid w:val="004D1269"/>
    <w:rsid w:val="004E77A8"/>
    <w:rsid w:val="00503571"/>
    <w:rsid w:val="005120DA"/>
    <w:rsid w:val="00512D96"/>
    <w:rsid w:val="0052465F"/>
    <w:rsid w:val="005326C2"/>
    <w:rsid w:val="005365CE"/>
    <w:rsid w:val="00541227"/>
    <w:rsid w:val="0054354A"/>
    <w:rsid w:val="0055745A"/>
    <w:rsid w:val="00580DB5"/>
    <w:rsid w:val="005851F2"/>
    <w:rsid w:val="00591EA7"/>
    <w:rsid w:val="005A18CC"/>
    <w:rsid w:val="005A4A45"/>
    <w:rsid w:val="005B34EC"/>
    <w:rsid w:val="005B41DF"/>
    <w:rsid w:val="005B4B7A"/>
    <w:rsid w:val="005D00EF"/>
    <w:rsid w:val="005D4B77"/>
    <w:rsid w:val="005D7A57"/>
    <w:rsid w:val="005E2718"/>
    <w:rsid w:val="005F1D74"/>
    <w:rsid w:val="005F20EC"/>
    <w:rsid w:val="00604BAC"/>
    <w:rsid w:val="00624463"/>
    <w:rsid w:val="0065267F"/>
    <w:rsid w:val="006548CC"/>
    <w:rsid w:val="00654A57"/>
    <w:rsid w:val="00662E9C"/>
    <w:rsid w:val="00671A45"/>
    <w:rsid w:val="00671F22"/>
    <w:rsid w:val="006A2B28"/>
    <w:rsid w:val="006A5E4D"/>
    <w:rsid w:val="006A7807"/>
    <w:rsid w:val="006B37AA"/>
    <w:rsid w:val="006B3E59"/>
    <w:rsid w:val="006B53E9"/>
    <w:rsid w:val="006C7A44"/>
    <w:rsid w:val="006E043F"/>
    <w:rsid w:val="006E0451"/>
    <w:rsid w:val="006E78C0"/>
    <w:rsid w:val="007000AB"/>
    <w:rsid w:val="00705AAD"/>
    <w:rsid w:val="007066EA"/>
    <w:rsid w:val="00712E93"/>
    <w:rsid w:val="00721EC2"/>
    <w:rsid w:val="00724E12"/>
    <w:rsid w:val="007429C3"/>
    <w:rsid w:val="007513B6"/>
    <w:rsid w:val="00752317"/>
    <w:rsid w:val="00757300"/>
    <w:rsid w:val="0076133B"/>
    <w:rsid w:val="00761923"/>
    <w:rsid w:val="00785CCB"/>
    <w:rsid w:val="00791058"/>
    <w:rsid w:val="007B1EE0"/>
    <w:rsid w:val="007C377D"/>
    <w:rsid w:val="007D42E4"/>
    <w:rsid w:val="007D7DBD"/>
    <w:rsid w:val="007E6414"/>
    <w:rsid w:val="007F2F4E"/>
    <w:rsid w:val="007F483B"/>
    <w:rsid w:val="00805743"/>
    <w:rsid w:val="00805F3A"/>
    <w:rsid w:val="00813752"/>
    <w:rsid w:val="008254BE"/>
    <w:rsid w:val="0083454F"/>
    <w:rsid w:val="00842A00"/>
    <w:rsid w:val="00850878"/>
    <w:rsid w:val="00851FD8"/>
    <w:rsid w:val="008631D2"/>
    <w:rsid w:val="00873311"/>
    <w:rsid w:val="0087510A"/>
    <w:rsid w:val="00880F47"/>
    <w:rsid w:val="008930DF"/>
    <w:rsid w:val="008C5359"/>
    <w:rsid w:val="008D5E00"/>
    <w:rsid w:val="008F4C2A"/>
    <w:rsid w:val="008F503B"/>
    <w:rsid w:val="00904130"/>
    <w:rsid w:val="0091049B"/>
    <w:rsid w:val="0092364F"/>
    <w:rsid w:val="00934C51"/>
    <w:rsid w:val="00942554"/>
    <w:rsid w:val="0095481A"/>
    <w:rsid w:val="0096671D"/>
    <w:rsid w:val="009738F5"/>
    <w:rsid w:val="0097457D"/>
    <w:rsid w:val="00981E47"/>
    <w:rsid w:val="009B77CF"/>
    <w:rsid w:val="009C2880"/>
    <w:rsid w:val="009C318D"/>
    <w:rsid w:val="009C428D"/>
    <w:rsid w:val="009C798F"/>
    <w:rsid w:val="009E223C"/>
    <w:rsid w:val="009E5990"/>
    <w:rsid w:val="009F1036"/>
    <w:rsid w:val="009F624E"/>
    <w:rsid w:val="009F67F9"/>
    <w:rsid w:val="00A16A4C"/>
    <w:rsid w:val="00A406FA"/>
    <w:rsid w:val="00A4616E"/>
    <w:rsid w:val="00A54D3E"/>
    <w:rsid w:val="00A54E7A"/>
    <w:rsid w:val="00A57634"/>
    <w:rsid w:val="00A676BF"/>
    <w:rsid w:val="00A714FE"/>
    <w:rsid w:val="00A71C73"/>
    <w:rsid w:val="00A90263"/>
    <w:rsid w:val="00A91CE0"/>
    <w:rsid w:val="00A933A1"/>
    <w:rsid w:val="00A934AA"/>
    <w:rsid w:val="00AA1ACA"/>
    <w:rsid w:val="00AA4A3A"/>
    <w:rsid w:val="00AB672E"/>
    <w:rsid w:val="00AC1D02"/>
    <w:rsid w:val="00AD24D0"/>
    <w:rsid w:val="00AD7DAE"/>
    <w:rsid w:val="00AD7E68"/>
    <w:rsid w:val="00AE0C82"/>
    <w:rsid w:val="00AE0CBC"/>
    <w:rsid w:val="00AE3534"/>
    <w:rsid w:val="00AF0A94"/>
    <w:rsid w:val="00AF5B8F"/>
    <w:rsid w:val="00AF7596"/>
    <w:rsid w:val="00B04662"/>
    <w:rsid w:val="00B13BF6"/>
    <w:rsid w:val="00B358E0"/>
    <w:rsid w:val="00B42008"/>
    <w:rsid w:val="00B42964"/>
    <w:rsid w:val="00B43CD7"/>
    <w:rsid w:val="00B508F0"/>
    <w:rsid w:val="00B52048"/>
    <w:rsid w:val="00B54FC5"/>
    <w:rsid w:val="00B63798"/>
    <w:rsid w:val="00B65393"/>
    <w:rsid w:val="00B80969"/>
    <w:rsid w:val="00B83D8F"/>
    <w:rsid w:val="00B83E4F"/>
    <w:rsid w:val="00B85D1C"/>
    <w:rsid w:val="00B86559"/>
    <w:rsid w:val="00B87E74"/>
    <w:rsid w:val="00B95413"/>
    <w:rsid w:val="00BA04CA"/>
    <w:rsid w:val="00BA390E"/>
    <w:rsid w:val="00BB505D"/>
    <w:rsid w:val="00BC5B53"/>
    <w:rsid w:val="00BE1C54"/>
    <w:rsid w:val="00BF3DCD"/>
    <w:rsid w:val="00BF3E59"/>
    <w:rsid w:val="00C00C3A"/>
    <w:rsid w:val="00C03C08"/>
    <w:rsid w:val="00C2006C"/>
    <w:rsid w:val="00C321F1"/>
    <w:rsid w:val="00C32885"/>
    <w:rsid w:val="00C3580F"/>
    <w:rsid w:val="00C4606B"/>
    <w:rsid w:val="00C52CE2"/>
    <w:rsid w:val="00C55378"/>
    <w:rsid w:val="00C56509"/>
    <w:rsid w:val="00C70CC2"/>
    <w:rsid w:val="00C911F5"/>
    <w:rsid w:val="00C93082"/>
    <w:rsid w:val="00C957C2"/>
    <w:rsid w:val="00CA0D08"/>
    <w:rsid w:val="00CA67BA"/>
    <w:rsid w:val="00CB4502"/>
    <w:rsid w:val="00CB4EA7"/>
    <w:rsid w:val="00CC38BC"/>
    <w:rsid w:val="00CC4908"/>
    <w:rsid w:val="00CD0E20"/>
    <w:rsid w:val="00CF1810"/>
    <w:rsid w:val="00D10E10"/>
    <w:rsid w:val="00D2097F"/>
    <w:rsid w:val="00D21C17"/>
    <w:rsid w:val="00D244CB"/>
    <w:rsid w:val="00D25D0F"/>
    <w:rsid w:val="00D37A7F"/>
    <w:rsid w:val="00D408E5"/>
    <w:rsid w:val="00D42450"/>
    <w:rsid w:val="00D5458E"/>
    <w:rsid w:val="00D77156"/>
    <w:rsid w:val="00D83708"/>
    <w:rsid w:val="00D879B5"/>
    <w:rsid w:val="00D90255"/>
    <w:rsid w:val="00DA426B"/>
    <w:rsid w:val="00DC0B95"/>
    <w:rsid w:val="00DC3F1B"/>
    <w:rsid w:val="00DD1F59"/>
    <w:rsid w:val="00DE7DE5"/>
    <w:rsid w:val="00E009CD"/>
    <w:rsid w:val="00E01F91"/>
    <w:rsid w:val="00E060FE"/>
    <w:rsid w:val="00E158C0"/>
    <w:rsid w:val="00E17F5F"/>
    <w:rsid w:val="00E27EDE"/>
    <w:rsid w:val="00E40927"/>
    <w:rsid w:val="00E42DDC"/>
    <w:rsid w:val="00E55C0E"/>
    <w:rsid w:val="00E757D5"/>
    <w:rsid w:val="00E7762B"/>
    <w:rsid w:val="00E77D39"/>
    <w:rsid w:val="00E81E04"/>
    <w:rsid w:val="00E838B3"/>
    <w:rsid w:val="00E91C7B"/>
    <w:rsid w:val="00E923EB"/>
    <w:rsid w:val="00EA0F0C"/>
    <w:rsid w:val="00EA4640"/>
    <w:rsid w:val="00ED05EE"/>
    <w:rsid w:val="00EE1482"/>
    <w:rsid w:val="00F05185"/>
    <w:rsid w:val="00F3261A"/>
    <w:rsid w:val="00F45AF5"/>
    <w:rsid w:val="00F45DC1"/>
    <w:rsid w:val="00F52F86"/>
    <w:rsid w:val="00F53291"/>
    <w:rsid w:val="00F53C4D"/>
    <w:rsid w:val="00F567F7"/>
    <w:rsid w:val="00F63113"/>
    <w:rsid w:val="00F649E1"/>
    <w:rsid w:val="00F76740"/>
    <w:rsid w:val="00F80080"/>
    <w:rsid w:val="00F9027B"/>
    <w:rsid w:val="00FA6738"/>
    <w:rsid w:val="00FB2B8B"/>
    <w:rsid w:val="00FB47B6"/>
    <w:rsid w:val="00FB5D9A"/>
    <w:rsid w:val="00FC1D54"/>
    <w:rsid w:val="00FC7BA3"/>
    <w:rsid w:val="00FC7F76"/>
    <w:rsid w:val="00FD18B2"/>
    <w:rsid w:val="00FD5DA3"/>
    <w:rsid w:val="00FE43C3"/>
    <w:rsid w:val="00FF232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567F7"/>
    <w:rPr>
      <w:rFonts w:asciiTheme="minorBidi" w:hAnsiTheme="minorBidi"/>
      <w:sz w:val="20"/>
    </w:rPr>
  </w:style>
  <w:style w:type="paragraph" w:styleId="Heading1">
    <w:name w:val="heading 1"/>
    <w:basedOn w:val="Normal"/>
    <w:next w:val="Normal"/>
    <w:link w:val="Heading1Char"/>
    <w:uiPriority w:val="9"/>
    <w:qFormat/>
    <w:rsid w:val="00F567F7"/>
    <w:pPr>
      <w:spacing w:before="200" w:after="0"/>
      <w:contextualSpacing/>
      <w:outlineLvl w:val="0"/>
    </w:pPr>
    <w:rPr>
      <w:rFonts w:eastAsiaTheme="majorEastAsia"/>
      <w:b/>
      <w:bCs/>
      <w:sz w:val="26"/>
      <w:szCs w:val="26"/>
      <w:lang w:val="en-AU"/>
    </w:rPr>
  </w:style>
  <w:style w:type="paragraph" w:styleId="Heading2">
    <w:name w:val="heading 2"/>
    <w:basedOn w:val="Normal"/>
    <w:next w:val="Normal"/>
    <w:link w:val="Heading2Char"/>
    <w:uiPriority w:val="9"/>
    <w:unhideWhenUsed/>
    <w:qFormat/>
    <w:rsid w:val="00F567F7"/>
    <w:pPr>
      <w:spacing w:before="200" w:after="0"/>
      <w:outlineLvl w:val="1"/>
    </w:pPr>
    <w:rPr>
      <w:rFonts w:eastAsiaTheme="majorEastAsia"/>
      <w:b/>
      <w:bCs/>
      <w:sz w:val="24"/>
      <w:szCs w:val="26"/>
      <w:lang w:val="en-AU"/>
    </w:rPr>
  </w:style>
  <w:style w:type="paragraph" w:styleId="Heading3">
    <w:name w:val="heading 3"/>
    <w:basedOn w:val="Normal"/>
    <w:next w:val="Normal"/>
    <w:link w:val="Heading3Char"/>
    <w:uiPriority w:val="9"/>
    <w:unhideWhenUsed/>
    <w:qFormat/>
    <w:rsid w:val="00F567F7"/>
    <w:pPr>
      <w:spacing w:before="200" w:after="0" w:line="271" w:lineRule="auto"/>
      <w:outlineLvl w:val="2"/>
    </w:pPr>
    <w:rPr>
      <w:rFonts w:eastAsiaTheme="majorEastAsia"/>
      <w:b/>
      <w:bCs/>
      <w:sz w:val="22"/>
      <w:lang w:val="en-AU"/>
    </w:rPr>
  </w:style>
  <w:style w:type="paragraph" w:styleId="Heading5">
    <w:name w:val="heading 5"/>
    <w:basedOn w:val="Normal"/>
    <w:next w:val="Normal"/>
    <w:link w:val="Heading5Char"/>
    <w:uiPriority w:val="9"/>
    <w:semiHidden/>
    <w:unhideWhenUsed/>
    <w:qFormat/>
    <w:rsid w:val="00F567F7"/>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F567F7"/>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F567F7"/>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F567F7"/>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F567F7"/>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65C"/>
    <w:pPr>
      <w:tabs>
        <w:tab w:val="center" w:pos="4320"/>
        <w:tab w:val="right" w:pos="8640"/>
      </w:tabs>
    </w:pPr>
  </w:style>
  <w:style w:type="paragraph" w:styleId="Footer">
    <w:name w:val="footer"/>
    <w:basedOn w:val="Normal"/>
    <w:link w:val="FooterChar"/>
    <w:uiPriority w:val="99"/>
    <w:rsid w:val="0037665C"/>
    <w:pPr>
      <w:tabs>
        <w:tab w:val="center" w:pos="4320"/>
        <w:tab w:val="right" w:pos="8640"/>
      </w:tabs>
    </w:pPr>
  </w:style>
  <w:style w:type="character" w:styleId="Hyperlink">
    <w:name w:val="Hyperlink"/>
    <w:rsid w:val="00880F47"/>
    <w:rPr>
      <w:color w:val="0000FF"/>
      <w:u w:val="single"/>
    </w:rPr>
  </w:style>
  <w:style w:type="character" w:styleId="FollowedHyperlink">
    <w:name w:val="FollowedHyperlink"/>
    <w:rsid w:val="009B77CF"/>
    <w:rPr>
      <w:color w:val="800080"/>
      <w:u w:val="single"/>
    </w:rPr>
  </w:style>
  <w:style w:type="table" w:styleId="TableGrid">
    <w:name w:val="Table Grid"/>
    <w:basedOn w:val="TableNormal"/>
    <w:rsid w:val="00E009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A3C98"/>
    <w:rPr>
      <w:rFonts w:ascii="Tahoma" w:hAnsi="Tahoma" w:cs="Tahoma"/>
      <w:sz w:val="16"/>
      <w:szCs w:val="16"/>
    </w:rPr>
  </w:style>
  <w:style w:type="character" w:customStyle="1" w:styleId="BalloonTextChar">
    <w:name w:val="Balloon Text Char"/>
    <w:link w:val="BalloonText"/>
    <w:rsid w:val="001A3C98"/>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F567F7"/>
    <w:rPr>
      <w:rFonts w:asciiTheme="minorBidi" w:eastAsiaTheme="majorEastAsia" w:hAnsiTheme="minorBidi"/>
      <w:b/>
      <w:bCs/>
      <w:sz w:val="26"/>
      <w:szCs w:val="26"/>
      <w:lang w:val="en-AU"/>
    </w:rPr>
  </w:style>
  <w:style w:type="character" w:customStyle="1" w:styleId="Heading2Char">
    <w:name w:val="Heading 2 Char"/>
    <w:basedOn w:val="DefaultParagraphFont"/>
    <w:link w:val="Heading2"/>
    <w:uiPriority w:val="9"/>
    <w:rsid w:val="00F567F7"/>
    <w:rPr>
      <w:rFonts w:asciiTheme="minorBidi" w:eastAsiaTheme="majorEastAsia" w:hAnsiTheme="minorBidi"/>
      <w:b/>
      <w:bCs/>
      <w:sz w:val="24"/>
      <w:szCs w:val="26"/>
      <w:lang w:val="en-AU"/>
    </w:rPr>
  </w:style>
  <w:style w:type="character" w:customStyle="1" w:styleId="Heading3Char">
    <w:name w:val="Heading 3 Char"/>
    <w:basedOn w:val="DefaultParagraphFont"/>
    <w:link w:val="Heading3"/>
    <w:uiPriority w:val="9"/>
    <w:rsid w:val="00F567F7"/>
    <w:rPr>
      <w:rFonts w:asciiTheme="minorBidi" w:eastAsiaTheme="majorEastAsia" w:hAnsiTheme="minorBidi"/>
      <w:b/>
      <w:bCs/>
      <w:lang w:val="en-AU"/>
    </w:rPr>
  </w:style>
  <w:style w:type="character" w:customStyle="1" w:styleId="Heading5Char">
    <w:name w:val="Heading 5 Char"/>
    <w:basedOn w:val="DefaultParagraphFont"/>
    <w:link w:val="Heading5"/>
    <w:uiPriority w:val="9"/>
    <w:semiHidden/>
    <w:rsid w:val="00F567F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567F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567F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567F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567F7"/>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qFormat/>
    <w:rsid w:val="00F567F7"/>
    <w:pPr>
      <w:spacing w:line="240" w:lineRule="auto"/>
    </w:pPr>
    <w:rPr>
      <w:b/>
      <w:bCs/>
      <w:color w:val="4F81BD" w:themeColor="accent1"/>
      <w:sz w:val="18"/>
      <w:szCs w:val="18"/>
    </w:rPr>
  </w:style>
  <w:style w:type="paragraph" w:styleId="Title">
    <w:name w:val="Title"/>
    <w:basedOn w:val="Normal"/>
    <w:next w:val="Normal"/>
    <w:link w:val="TitleChar"/>
    <w:uiPriority w:val="10"/>
    <w:qFormat/>
    <w:rsid w:val="00F567F7"/>
    <w:pPr>
      <w:tabs>
        <w:tab w:val="left" w:pos="720"/>
        <w:tab w:val="left" w:pos="1440"/>
        <w:tab w:val="left" w:pos="3710"/>
      </w:tabs>
      <w:spacing w:before="320" w:line="240" w:lineRule="auto"/>
      <w:contextualSpacing/>
    </w:pPr>
    <w:rPr>
      <w:rFonts w:eastAsiaTheme="majorEastAsia"/>
      <w:b/>
      <w:bCs/>
      <w:caps/>
      <w:color w:val="C00000"/>
      <w:spacing w:val="5"/>
      <w:sz w:val="32"/>
      <w:szCs w:val="32"/>
      <w:lang w:val="en-US"/>
    </w:rPr>
  </w:style>
  <w:style w:type="character" w:customStyle="1" w:styleId="TitleChar">
    <w:name w:val="Title Char"/>
    <w:basedOn w:val="DefaultParagraphFont"/>
    <w:link w:val="Title"/>
    <w:uiPriority w:val="10"/>
    <w:rsid w:val="00F567F7"/>
    <w:rPr>
      <w:rFonts w:asciiTheme="minorBidi" w:eastAsiaTheme="majorEastAsia" w:hAnsiTheme="minorBidi"/>
      <w:b/>
      <w:bCs/>
      <w:caps/>
      <w:color w:val="C00000"/>
      <w:spacing w:val="5"/>
      <w:sz w:val="32"/>
      <w:szCs w:val="32"/>
      <w:lang w:val="en-US"/>
    </w:rPr>
  </w:style>
  <w:style w:type="paragraph" w:styleId="Subtitle">
    <w:name w:val="Subtitle"/>
    <w:basedOn w:val="Normal"/>
    <w:next w:val="Normal"/>
    <w:link w:val="SubtitleChar"/>
    <w:uiPriority w:val="11"/>
    <w:qFormat/>
    <w:rsid w:val="00F567F7"/>
    <w:pPr>
      <w:spacing w:after="600"/>
    </w:pPr>
    <w:rPr>
      <w:rFonts w:eastAsiaTheme="majorEastAsia"/>
      <w:b/>
      <w:bCs/>
      <w:iCs/>
      <w:spacing w:val="13"/>
      <w:sz w:val="28"/>
      <w:szCs w:val="28"/>
      <w:lang w:val="en-AU"/>
    </w:rPr>
  </w:style>
  <w:style w:type="character" w:customStyle="1" w:styleId="SubtitleChar">
    <w:name w:val="Subtitle Char"/>
    <w:basedOn w:val="DefaultParagraphFont"/>
    <w:link w:val="Subtitle"/>
    <w:uiPriority w:val="11"/>
    <w:rsid w:val="00F567F7"/>
    <w:rPr>
      <w:rFonts w:asciiTheme="minorBidi" w:eastAsiaTheme="majorEastAsia" w:hAnsiTheme="minorBidi"/>
      <w:b/>
      <w:bCs/>
      <w:iCs/>
      <w:spacing w:val="13"/>
      <w:sz w:val="28"/>
      <w:szCs w:val="28"/>
      <w:lang w:val="en-AU"/>
    </w:rPr>
  </w:style>
  <w:style w:type="character" w:styleId="Strong">
    <w:name w:val="Strong"/>
    <w:uiPriority w:val="22"/>
    <w:rsid w:val="00221989"/>
    <w:rPr>
      <w:b/>
      <w:bCs/>
    </w:rPr>
  </w:style>
  <w:style w:type="paragraph" w:styleId="NoSpacing">
    <w:name w:val="No Spacing"/>
    <w:basedOn w:val="Normal"/>
    <w:link w:val="NoSpacingChar"/>
    <w:uiPriority w:val="1"/>
    <w:qFormat/>
    <w:rsid w:val="00F567F7"/>
    <w:pPr>
      <w:spacing w:after="0" w:line="240" w:lineRule="auto"/>
    </w:pPr>
    <w:rPr>
      <w:szCs w:val="20"/>
    </w:rPr>
  </w:style>
  <w:style w:type="character" w:customStyle="1" w:styleId="NoSpacingChar">
    <w:name w:val="No Spacing Char"/>
    <w:basedOn w:val="DefaultParagraphFont"/>
    <w:link w:val="NoSpacing"/>
    <w:uiPriority w:val="1"/>
    <w:rsid w:val="00F567F7"/>
    <w:rPr>
      <w:rFonts w:asciiTheme="minorBidi" w:hAnsiTheme="minorBidi"/>
      <w:sz w:val="20"/>
      <w:szCs w:val="20"/>
    </w:rPr>
  </w:style>
  <w:style w:type="paragraph" w:styleId="ListParagraph">
    <w:name w:val="List Paragraph"/>
    <w:basedOn w:val="Normal"/>
    <w:uiPriority w:val="34"/>
    <w:qFormat/>
    <w:rsid w:val="00F567F7"/>
    <w:pPr>
      <w:contextualSpacing/>
    </w:pPr>
    <w:rPr>
      <w:lang w:val="en-AU"/>
    </w:rPr>
  </w:style>
  <w:style w:type="paragraph" w:styleId="Quote">
    <w:name w:val="Quote"/>
    <w:basedOn w:val="Normal"/>
    <w:next w:val="Normal"/>
    <w:link w:val="QuoteChar"/>
    <w:uiPriority w:val="29"/>
    <w:qFormat/>
    <w:rsid w:val="00221989"/>
    <w:pPr>
      <w:spacing w:before="200" w:after="0"/>
      <w:ind w:left="360" w:right="360"/>
    </w:pPr>
    <w:rPr>
      <w:rFonts w:asciiTheme="minorHAnsi" w:hAnsiTheme="minorHAnsi"/>
      <w:i/>
      <w:iCs/>
      <w:sz w:val="22"/>
    </w:rPr>
  </w:style>
  <w:style w:type="character" w:customStyle="1" w:styleId="QuoteChar">
    <w:name w:val="Quote Char"/>
    <w:link w:val="Quote"/>
    <w:uiPriority w:val="29"/>
    <w:rsid w:val="00221989"/>
    <w:rPr>
      <w:i/>
      <w:iCs/>
    </w:rPr>
  </w:style>
  <w:style w:type="paragraph" w:styleId="TOCHeading">
    <w:name w:val="TOC Heading"/>
    <w:basedOn w:val="Heading1"/>
    <w:next w:val="Normal"/>
    <w:uiPriority w:val="39"/>
    <w:semiHidden/>
    <w:unhideWhenUsed/>
    <w:qFormat/>
    <w:rsid w:val="00F567F7"/>
    <w:pPr>
      <w:outlineLvl w:val="9"/>
    </w:pPr>
  </w:style>
  <w:style w:type="paragraph" w:customStyle="1" w:styleId="SubjectText">
    <w:name w:val="Subject Text"/>
    <w:basedOn w:val="Normal"/>
    <w:link w:val="SubjectTextChar"/>
    <w:qFormat/>
    <w:rsid w:val="00F567F7"/>
    <w:rPr>
      <w:b/>
      <w:bCs/>
      <w:sz w:val="22"/>
    </w:rPr>
  </w:style>
  <w:style w:type="character" w:customStyle="1" w:styleId="SubjectTextChar">
    <w:name w:val="Subject Text Char"/>
    <w:basedOn w:val="DefaultParagraphFont"/>
    <w:link w:val="SubjectText"/>
    <w:rsid w:val="00F567F7"/>
    <w:rPr>
      <w:rFonts w:asciiTheme="minorBidi" w:hAnsiTheme="minorBidi"/>
      <w:b/>
      <w:bCs/>
    </w:rPr>
  </w:style>
  <w:style w:type="numbering" w:customStyle="1" w:styleId="NoList1">
    <w:name w:val="No List1"/>
    <w:next w:val="NoList"/>
    <w:uiPriority w:val="99"/>
    <w:semiHidden/>
    <w:unhideWhenUsed/>
    <w:rsid w:val="001D1B5B"/>
  </w:style>
  <w:style w:type="character" w:customStyle="1" w:styleId="HeaderChar">
    <w:name w:val="Header Char"/>
    <w:basedOn w:val="DefaultParagraphFont"/>
    <w:link w:val="Header"/>
    <w:uiPriority w:val="99"/>
    <w:rsid w:val="001D1B5B"/>
    <w:rPr>
      <w:rFonts w:asciiTheme="minorBidi" w:hAnsiTheme="minorBidi"/>
      <w:sz w:val="20"/>
    </w:rPr>
  </w:style>
  <w:style w:type="character" w:customStyle="1" w:styleId="FooterChar">
    <w:name w:val="Footer Char"/>
    <w:basedOn w:val="DefaultParagraphFont"/>
    <w:link w:val="Footer"/>
    <w:uiPriority w:val="99"/>
    <w:rsid w:val="001D1B5B"/>
    <w:rPr>
      <w:rFonts w:asciiTheme="minorBidi" w:hAnsiTheme="minorBidi"/>
      <w:sz w:val="20"/>
    </w:rPr>
  </w:style>
  <w:style w:type="character" w:styleId="PageNumber">
    <w:name w:val="page number"/>
    <w:basedOn w:val="DefaultParagraphFont"/>
    <w:rsid w:val="001D1B5B"/>
  </w:style>
  <w:style w:type="paragraph" w:customStyle="1" w:styleId="BodyText1">
    <w:name w:val="Body Text1"/>
    <w:basedOn w:val="Heading1"/>
    <w:rsid w:val="001D1B5B"/>
    <w:pPr>
      <w:keepNext/>
      <w:spacing w:before="240" w:after="60" w:line="240" w:lineRule="auto"/>
      <w:ind w:left="170"/>
      <w:contextualSpacing w:val="0"/>
    </w:pPr>
    <w:rPr>
      <w:rFonts w:ascii="Arial" w:eastAsia="Times New Roman" w:hAnsi="Arial" w:cs="Times New Roman"/>
      <w:b w:val="0"/>
      <w:kern w:val="32"/>
      <w:sz w:val="22"/>
      <w:szCs w:val="32"/>
      <w:lang w:val="en-US"/>
    </w:rPr>
  </w:style>
  <w:style w:type="character" w:customStyle="1" w:styleId="longtext">
    <w:name w:val="long_text"/>
    <w:rsid w:val="001D1B5B"/>
  </w:style>
  <w:style w:type="paragraph" w:styleId="NormalWeb">
    <w:name w:val="Normal (Web)"/>
    <w:basedOn w:val="Normal"/>
    <w:uiPriority w:val="99"/>
    <w:unhideWhenUsed/>
    <w:rsid w:val="001D1B5B"/>
    <w:pPr>
      <w:spacing w:before="100" w:beforeAutospacing="1" w:after="100" w:afterAutospacing="1" w:line="240" w:lineRule="auto"/>
    </w:pPr>
    <w:rPr>
      <w:rFonts w:ascii="Times New Roman" w:eastAsiaTheme="minorEastAsia" w:hAnsi="Times New Roman" w:cs="Times New Roman"/>
      <w:sz w:val="24"/>
      <w:szCs w:val="24"/>
      <w:lang w:eastAsia="en-GB"/>
    </w:rPr>
  </w:style>
  <w:style w:type="numbering" w:customStyle="1" w:styleId="NoList11">
    <w:name w:val="No List11"/>
    <w:next w:val="NoList"/>
    <w:uiPriority w:val="99"/>
    <w:semiHidden/>
    <w:rsid w:val="001D1B5B"/>
  </w:style>
  <w:style w:type="character" w:styleId="CommentReference">
    <w:name w:val="annotation reference"/>
    <w:rsid w:val="001D1B5B"/>
    <w:rPr>
      <w:sz w:val="16"/>
      <w:szCs w:val="16"/>
    </w:rPr>
  </w:style>
  <w:style w:type="paragraph" w:styleId="CommentText">
    <w:name w:val="annotation text"/>
    <w:basedOn w:val="Normal"/>
    <w:link w:val="CommentTextChar"/>
    <w:rsid w:val="001D1B5B"/>
    <w:pPr>
      <w:spacing w:after="0" w:line="240" w:lineRule="auto"/>
    </w:pPr>
    <w:rPr>
      <w:rFonts w:ascii="Arial" w:eastAsia="Times New Roman" w:hAnsi="Arial" w:cs="Times New Roman"/>
      <w:szCs w:val="20"/>
      <w:lang w:val="en-US"/>
    </w:rPr>
  </w:style>
  <w:style w:type="character" w:customStyle="1" w:styleId="CommentTextChar">
    <w:name w:val="Comment Text Char"/>
    <w:basedOn w:val="DefaultParagraphFont"/>
    <w:link w:val="CommentText"/>
    <w:rsid w:val="001D1B5B"/>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1D1B5B"/>
    <w:rPr>
      <w:b/>
      <w:bCs/>
    </w:rPr>
  </w:style>
  <w:style w:type="character" w:customStyle="1" w:styleId="CommentSubjectChar">
    <w:name w:val="Comment Subject Char"/>
    <w:basedOn w:val="CommentTextChar"/>
    <w:link w:val="CommentSubject"/>
    <w:rsid w:val="001D1B5B"/>
    <w:rPr>
      <w:rFonts w:ascii="Arial" w:eastAsia="Times New Roman" w:hAnsi="Arial" w:cs="Times New Roman"/>
      <w:b/>
      <w:bCs/>
      <w:sz w:val="20"/>
      <w:szCs w:val="20"/>
      <w:lang w:val="en-US"/>
    </w:rPr>
  </w:style>
  <w:style w:type="paragraph" w:customStyle="1" w:styleId="Default">
    <w:name w:val="Default"/>
    <w:rsid w:val="001D1B5B"/>
    <w:pPr>
      <w:autoSpaceDE w:val="0"/>
      <w:autoSpaceDN w:val="0"/>
      <w:adjustRightInd w:val="0"/>
      <w:spacing w:after="0" w:line="240" w:lineRule="auto"/>
    </w:pPr>
    <w:rPr>
      <w:rFonts w:ascii="Frutiger LT 45 Light" w:eastAsia="Times New Roman" w:hAnsi="Frutiger LT 45 Light" w:cs="Frutiger LT 45 Light"/>
      <w:color w:val="000000"/>
      <w:sz w:val="24"/>
      <w:szCs w:val="24"/>
      <w:lang w:val="en-US"/>
    </w:rPr>
  </w:style>
  <w:style w:type="numbering" w:customStyle="1" w:styleId="NoList2">
    <w:name w:val="No List2"/>
    <w:next w:val="NoList"/>
    <w:semiHidden/>
    <w:rsid w:val="001D1B5B"/>
  </w:style>
  <w:style w:type="numbering" w:customStyle="1" w:styleId="NoList3">
    <w:name w:val="No List3"/>
    <w:next w:val="NoList"/>
    <w:semiHidden/>
    <w:rsid w:val="001D1B5B"/>
  </w:style>
  <w:style w:type="table" w:customStyle="1" w:styleId="TableGrid1">
    <w:name w:val="Table Grid1"/>
    <w:basedOn w:val="TableNormal"/>
    <w:next w:val="TableGrid"/>
    <w:rsid w:val="001D1B5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D1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Normal"/>
    <w:next w:val="Normal"/>
    <w:unhideWhenUsed/>
    <w:qFormat/>
    <w:rsid w:val="001D1B5B"/>
    <w:pPr>
      <w:spacing w:before="200" w:after="0" w:line="240" w:lineRule="auto"/>
      <w:outlineLvl w:val="1"/>
    </w:pPr>
    <w:rPr>
      <w:rFonts w:ascii="Arial" w:eastAsia="PMingLiU" w:hAnsi="Arial" w:cs="Times New Roman"/>
      <w:b/>
      <w:bCs/>
      <w:sz w:val="24"/>
      <w:szCs w:val="26"/>
      <w:lang w:val="en-AU"/>
    </w:rPr>
  </w:style>
  <w:style w:type="paragraph" w:customStyle="1" w:styleId="Heading31">
    <w:name w:val="Heading 31"/>
    <w:basedOn w:val="Normal"/>
    <w:next w:val="Normal"/>
    <w:uiPriority w:val="9"/>
    <w:unhideWhenUsed/>
    <w:qFormat/>
    <w:rsid w:val="001D1B5B"/>
    <w:pPr>
      <w:spacing w:before="200" w:after="0" w:line="271" w:lineRule="auto"/>
      <w:outlineLvl w:val="2"/>
    </w:pPr>
    <w:rPr>
      <w:rFonts w:ascii="Arial" w:eastAsia="PMingLiU" w:hAnsi="Arial" w:cs="Times New Roman"/>
      <w:b/>
      <w:bCs/>
      <w:sz w:val="22"/>
      <w:lang w:val="en-AU"/>
    </w:rPr>
  </w:style>
  <w:style w:type="paragraph" w:customStyle="1" w:styleId="Heading51">
    <w:name w:val="Heading 51"/>
    <w:basedOn w:val="Normal"/>
    <w:next w:val="Normal"/>
    <w:uiPriority w:val="9"/>
    <w:semiHidden/>
    <w:unhideWhenUsed/>
    <w:qFormat/>
    <w:rsid w:val="001D1B5B"/>
    <w:pPr>
      <w:spacing w:before="200" w:after="0" w:line="240" w:lineRule="auto"/>
      <w:outlineLvl w:val="4"/>
    </w:pPr>
    <w:rPr>
      <w:rFonts w:ascii="Cambria" w:eastAsia="PMingLiU" w:hAnsi="Cambria" w:cs="Times New Roman"/>
      <w:b/>
      <w:bCs/>
      <w:color w:val="7F7F7F"/>
      <w:sz w:val="22"/>
      <w:lang w:val="en-US"/>
    </w:rPr>
  </w:style>
  <w:style w:type="paragraph" w:customStyle="1" w:styleId="Heading61">
    <w:name w:val="Heading 61"/>
    <w:basedOn w:val="Normal"/>
    <w:next w:val="Normal"/>
    <w:uiPriority w:val="9"/>
    <w:semiHidden/>
    <w:unhideWhenUsed/>
    <w:qFormat/>
    <w:rsid w:val="001D1B5B"/>
    <w:pPr>
      <w:spacing w:after="0" w:line="271" w:lineRule="auto"/>
      <w:outlineLvl w:val="5"/>
    </w:pPr>
    <w:rPr>
      <w:rFonts w:ascii="Cambria" w:eastAsia="PMingLiU" w:hAnsi="Cambria" w:cs="Times New Roman"/>
      <w:b/>
      <w:bCs/>
      <w:i/>
      <w:iCs/>
      <w:color w:val="7F7F7F"/>
      <w:sz w:val="22"/>
      <w:lang w:val="en-US"/>
    </w:rPr>
  </w:style>
  <w:style w:type="paragraph" w:customStyle="1" w:styleId="Heading71">
    <w:name w:val="Heading 71"/>
    <w:basedOn w:val="Normal"/>
    <w:next w:val="Normal"/>
    <w:uiPriority w:val="9"/>
    <w:semiHidden/>
    <w:unhideWhenUsed/>
    <w:qFormat/>
    <w:rsid w:val="001D1B5B"/>
    <w:pPr>
      <w:spacing w:after="0" w:line="240" w:lineRule="auto"/>
      <w:outlineLvl w:val="6"/>
    </w:pPr>
    <w:rPr>
      <w:rFonts w:ascii="Cambria" w:eastAsia="PMingLiU" w:hAnsi="Cambria" w:cs="Times New Roman"/>
      <w:i/>
      <w:iCs/>
      <w:sz w:val="22"/>
      <w:lang w:val="en-US"/>
    </w:rPr>
  </w:style>
  <w:style w:type="paragraph" w:customStyle="1" w:styleId="Heading81">
    <w:name w:val="Heading 81"/>
    <w:basedOn w:val="Normal"/>
    <w:next w:val="Normal"/>
    <w:uiPriority w:val="9"/>
    <w:semiHidden/>
    <w:unhideWhenUsed/>
    <w:qFormat/>
    <w:rsid w:val="001D1B5B"/>
    <w:pPr>
      <w:spacing w:after="0" w:line="240" w:lineRule="auto"/>
      <w:outlineLvl w:val="7"/>
    </w:pPr>
    <w:rPr>
      <w:rFonts w:ascii="Cambria" w:eastAsia="PMingLiU" w:hAnsi="Cambria" w:cs="Times New Roman"/>
      <w:sz w:val="22"/>
      <w:szCs w:val="20"/>
      <w:lang w:val="en-US"/>
    </w:rPr>
  </w:style>
  <w:style w:type="paragraph" w:customStyle="1" w:styleId="Heading91">
    <w:name w:val="Heading 91"/>
    <w:basedOn w:val="Normal"/>
    <w:next w:val="Normal"/>
    <w:uiPriority w:val="9"/>
    <w:semiHidden/>
    <w:unhideWhenUsed/>
    <w:qFormat/>
    <w:rsid w:val="001D1B5B"/>
    <w:pPr>
      <w:spacing w:after="0" w:line="240" w:lineRule="auto"/>
      <w:outlineLvl w:val="8"/>
    </w:pPr>
    <w:rPr>
      <w:rFonts w:ascii="Cambria" w:eastAsia="PMingLiU" w:hAnsi="Cambria" w:cs="Times New Roman"/>
      <w:i/>
      <w:iCs/>
      <w:spacing w:val="5"/>
      <w:sz w:val="22"/>
      <w:szCs w:val="20"/>
      <w:lang w:val="en-US"/>
    </w:rPr>
  </w:style>
  <w:style w:type="paragraph" w:customStyle="1" w:styleId="Caption1">
    <w:name w:val="Caption1"/>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paragraph" w:customStyle="1" w:styleId="Title1">
    <w:name w:val="Title1"/>
    <w:basedOn w:val="Normal"/>
    <w:next w:val="Normal"/>
    <w:uiPriority w:val="10"/>
    <w:qFormat/>
    <w:rsid w:val="001D1B5B"/>
    <w:pPr>
      <w:tabs>
        <w:tab w:val="left" w:pos="720"/>
        <w:tab w:val="left" w:pos="1440"/>
        <w:tab w:val="left" w:pos="3710"/>
      </w:tabs>
      <w:spacing w:before="320" w:after="0" w:line="240" w:lineRule="auto"/>
      <w:contextualSpacing/>
    </w:pPr>
    <w:rPr>
      <w:rFonts w:ascii="Arial" w:eastAsia="PMingLiU" w:hAnsi="Arial" w:cs="Times New Roman"/>
      <w:b/>
      <w:bCs/>
      <w:caps/>
      <w:color w:val="C00000"/>
      <w:spacing w:val="5"/>
      <w:sz w:val="32"/>
      <w:szCs w:val="32"/>
      <w:lang w:val="en-US"/>
    </w:rPr>
  </w:style>
  <w:style w:type="paragraph" w:customStyle="1" w:styleId="Subtitle1">
    <w:name w:val="Subtitle1"/>
    <w:basedOn w:val="Normal"/>
    <w:next w:val="Normal"/>
    <w:uiPriority w:val="11"/>
    <w:qFormat/>
    <w:rsid w:val="001D1B5B"/>
    <w:pPr>
      <w:spacing w:after="600" w:line="240" w:lineRule="auto"/>
    </w:pPr>
    <w:rPr>
      <w:rFonts w:ascii="Arial" w:eastAsia="PMingLiU" w:hAnsi="Arial" w:cs="Times New Roman"/>
      <w:b/>
      <w:bCs/>
      <w:iCs/>
      <w:spacing w:val="13"/>
      <w:sz w:val="28"/>
      <w:szCs w:val="28"/>
      <w:lang w:val="en-AU"/>
    </w:rPr>
  </w:style>
  <w:style w:type="paragraph" w:customStyle="1" w:styleId="Quote1">
    <w:name w:val="Quote1"/>
    <w:basedOn w:val="Normal"/>
    <w:next w:val="Normal"/>
    <w:uiPriority w:val="29"/>
    <w:rsid w:val="001D1B5B"/>
    <w:pPr>
      <w:spacing w:before="200" w:after="0" w:line="240" w:lineRule="auto"/>
      <w:ind w:left="360" w:right="360"/>
    </w:pPr>
    <w:rPr>
      <w:rFonts w:ascii="Calibri" w:eastAsia="Times New Roman" w:hAnsi="Calibri" w:cs="Times New Roman"/>
      <w:i/>
      <w:iCs/>
      <w:sz w:val="22"/>
      <w:lang w:val="en-US"/>
    </w:rPr>
  </w:style>
  <w:style w:type="paragraph" w:customStyle="1" w:styleId="NormalWeb1">
    <w:name w:val="Normal (Web)1"/>
    <w:basedOn w:val="Normal"/>
    <w:next w:val="NormalWeb"/>
    <w:uiPriority w:val="99"/>
    <w:unhideWhenUsed/>
    <w:rsid w:val="001D1B5B"/>
    <w:pPr>
      <w:spacing w:before="100" w:beforeAutospacing="1" w:after="100" w:afterAutospacing="1" w:line="240" w:lineRule="auto"/>
    </w:pPr>
    <w:rPr>
      <w:rFonts w:ascii="Times New Roman" w:eastAsia="PMingLiU" w:hAnsi="Times New Roman" w:cs="Times New Roman"/>
      <w:sz w:val="24"/>
      <w:szCs w:val="24"/>
      <w:lang w:eastAsia="en-GB"/>
    </w:rPr>
  </w:style>
  <w:style w:type="numbering" w:customStyle="1" w:styleId="NoList111">
    <w:name w:val="No List111"/>
    <w:next w:val="NoList"/>
    <w:semiHidden/>
    <w:rsid w:val="001D1B5B"/>
  </w:style>
  <w:style w:type="character" w:customStyle="1" w:styleId="Heading2Char1">
    <w:name w:val="Heading 2 Char1"/>
    <w:basedOn w:val="DefaultParagraphFont"/>
    <w:semiHidden/>
    <w:rsid w:val="001D1B5B"/>
    <w:rPr>
      <w:rFonts w:asciiTheme="majorHAnsi" w:eastAsiaTheme="majorEastAsia" w:hAnsiTheme="majorHAnsi" w:cstheme="majorBidi"/>
      <w:b/>
      <w:bCs/>
      <w:color w:val="4F81BD" w:themeColor="accent1"/>
      <w:sz w:val="26"/>
      <w:szCs w:val="26"/>
      <w:lang w:val="en-US" w:eastAsia="en-US"/>
    </w:rPr>
  </w:style>
  <w:style w:type="character" w:customStyle="1" w:styleId="Heading3Char1">
    <w:name w:val="Heading 3 Char1"/>
    <w:basedOn w:val="DefaultParagraphFont"/>
    <w:semiHidden/>
    <w:rsid w:val="001D1B5B"/>
    <w:rPr>
      <w:rFonts w:asciiTheme="majorHAnsi" w:eastAsiaTheme="majorEastAsia" w:hAnsiTheme="majorHAnsi" w:cstheme="majorBidi"/>
      <w:b/>
      <w:bCs/>
      <w:color w:val="4F81BD" w:themeColor="accent1"/>
      <w:sz w:val="22"/>
      <w:szCs w:val="22"/>
      <w:lang w:val="en-US" w:eastAsia="en-US"/>
    </w:rPr>
  </w:style>
  <w:style w:type="character" w:customStyle="1" w:styleId="Heading5Char1">
    <w:name w:val="Heading 5 Char1"/>
    <w:basedOn w:val="DefaultParagraphFont"/>
    <w:semiHidden/>
    <w:rsid w:val="001D1B5B"/>
    <w:rPr>
      <w:rFonts w:asciiTheme="majorHAnsi" w:eastAsiaTheme="majorEastAsia" w:hAnsiTheme="majorHAnsi" w:cstheme="majorBidi"/>
      <w:color w:val="243F60" w:themeColor="accent1" w:themeShade="7F"/>
      <w:sz w:val="22"/>
      <w:szCs w:val="22"/>
      <w:lang w:val="en-US" w:eastAsia="en-US"/>
    </w:rPr>
  </w:style>
  <w:style w:type="character" w:customStyle="1" w:styleId="Heading6Char1">
    <w:name w:val="Heading 6 Char1"/>
    <w:basedOn w:val="DefaultParagraphFont"/>
    <w:semiHidden/>
    <w:rsid w:val="001D1B5B"/>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1">
    <w:name w:val="Heading 7 Char1"/>
    <w:basedOn w:val="DefaultParagraphFont"/>
    <w:semiHidden/>
    <w:rsid w:val="001D1B5B"/>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1">
    <w:name w:val="Heading 8 Char1"/>
    <w:basedOn w:val="DefaultParagraphFont"/>
    <w:semiHidden/>
    <w:rsid w:val="001D1B5B"/>
    <w:rPr>
      <w:rFonts w:asciiTheme="majorHAnsi" w:eastAsiaTheme="majorEastAsia" w:hAnsiTheme="majorHAnsi" w:cstheme="majorBidi"/>
      <w:color w:val="404040" w:themeColor="text1" w:themeTint="BF"/>
      <w:lang w:val="en-US" w:eastAsia="en-US"/>
    </w:rPr>
  </w:style>
  <w:style w:type="character" w:customStyle="1" w:styleId="Heading9Char1">
    <w:name w:val="Heading 9 Char1"/>
    <w:basedOn w:val="DefaultParagraphFont"/>
    <w:semiHidden/>
    <w:rsid w:val="001D1B5B"/>
    <w:rPr>
      <w:rFonts w:asciiTheme="majorHAnsi" w:eastAsiaTheme="majorEastAsia" w:hAnsiTheme="majorHAnsi" w:cstheme="majorBidi"/>
      <w:i/>
      <w:iCs/>
      <w:color w:val="404040" w:themeColor="text1" w:themeTint="BF"/>
      <w:lang w:val="en-US" w:eastAsia="en-US"/>
    </w:rPr>
  </w:style>
  <w:style w:type="character" w:customStyle="1" w:styleId="TitleChar1">
    <w:name w:val="Title Char1"/>
    <w:basedOn w:val="DefaultParagraphFont"/>
    <w:rsid w:val="001D1B5B"/>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SubtitleChar1">
    <w:name w:val="Subtitle Char1"/>
    <w:basedOn w:val="DefaultParagraphFont"/>
    <w:rsid w:val="001D1B5B"/>
    <w:rPr>
      <w:rFonts w:asciiTheme="majorHAnsi" w:eastAsiaTheme="majorEastAsia" w:hAnsiTheme="majorHAnsi" w:cstheme="majorBidi"/>
      <w:i/>
      <w:iCs/>
      <w:color w:val="4F81BD" w:themeColor="accent1"/>
      <w:spacing w:val="15"/>
      <w:sz w:val="24"/>
      <w:szCs w:val="24"/>
      <w:lang w:val="en-US" w:eastAsia="en-US"/>
    </w:rPr>
  </w:style>
  <w:style w:type="character" w:customStyle="1" w:styleId="QuoteChar1">
    <w:name w:val="Quote Char1"/>
    <w:basedOn w:val="DefaultParagraphFont"/>
    <w:uiPriority w:val="29"/>
    <w:rsid w:val="001D1B5B"/>
    <w:rPr>
      <w:rFonts w:ascii="Arial" w:hAnsi="Arial"/>
      <w:i/>
      <w:iCs/>
      <w:color w:val="000000" w:themeColor="text1"/>
      <w:sz w:val="22"/>
      <w:szCs w:val="22"/>
      <w:lang w:val="en-US" w:eastAsia="en-US"/>
    </w:rPr>
  </w:style>
  <w:style w:type="numbering" w:customStyle="1" w:styleId="NoList4">
    <w:name w:val="No List4"/>
    <w:next w:val="NoList"/>
    <w:uiPriority w:val="99"/>
    <w:semiHidden/>
    <w:unhideWhenUsed/>
    <w:rsid w:val="001D1B5B"/>
  </w:style>
  <w:style w:type="paragraph" w:customStyle="1" w:styleId="Caption2">
    <w:name w:val="Caption2"/>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numbering" w:customStyle="1" w:styleId="NoList12">
    <w:name w:val="No List12"/>
    <w:next w:val="NoList"/>
    <w:semiHidden/>
    <w:rsid w:val="001D1B5B"/>
  </w:style>
  <w:style w:type="numbering" w:customStyle="1" w:styleId="NoList21">
    <w:name w:val="No List21"/>
    <w:next w:val="NoList"/>
    <w:semiHidden/>
    <w:rsid w:val="001D1B5B"/>
  </w:style>
  <w:style w:type="numbering" w:customStyle="1" w:styleId="NoList31">
    <w:name w:val="No List31"/>
    <w:next w:val="NoList"/>
    <w:semiHidden/>
    <w:rsid w:val="001D1B5B"/>
  </w:style>
  <w:style w:type="table" w:customStyle="1" w:styleId="TableGrid11">
    <w:name w:val="Table Grid11"/>
    <w:basedOn w:val="TableNormal"/>
    <w:next w:val="TableGrid"/>
    <w:rsid w:val="001D1B5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567F7"/>
    <w:rPr>
      <w:rFonts w:asciiTheme="minorBidi" w:hAnsiTheme="minorBidi"/>
      <w:sz w:val="20"/>
    </w:rPr>
  </w:style>
  <w:style w:type="paragraph" w:styleId="Heading1">
    <w:name w:val="heading 1"/>
    <w:basedOn w:val="Normal"/>
    <w:next w:val="Normal"/>
    <w:link w:val="Heading1Char"/>
    <w:uiPriority w:val="9"/>
    <w:qFormat/>
    <w:rsid w:val="00F567F7"/>
    <w:pPr>
      <w:spacing w:before="200" w:after="0"/>
      <w:contextualSpacing/>
      <w:outlineLvl w:val="0"/>
    </w:pPr>
    <w:rPr>
      <w:rFonts w:eastAsiaTheme="majorEastAsia"/>
      <w:b/>
      <w:bCs/>
      <w:sz w:val="26"/>
      <w:szCs w:val="26"/>
      <w:lang w:val="en-AU"/>
    </w:rPr>
  </w:style>
  <w:style w:type="paragraph" w:styleId="Heading2">
    <w:name w:val="heading 2"/>
    <w:basedOn w:val="Normal"/>
    <w:next w:val="Normal"/>
    <w:link w:val="Heading2Char"/>
    <w:uiPriority w:val="9"/>
    <w:unhideWhenUsed/>
    <w:qFormat/>
    <w:rsid w:val="00F567F7"/>
    <w:pPr>
      <w:spacing w:before="200" w:after="0"/>
      <w:outlineLvl w:val="1"/>
    </w:pPr>
    <w:rPr>
      <w:rFonts w:eastAsiaTheme="majorEastAsia"/>
      <w:b/>
      <w:bCs/>
      <w:sz w:val="24"/>
      <w:szCs w:val="26"/>
      <w:lang w:val="en-AU"/>
    </w:rPr>
  </w:style>
  <w:style w:type="paragraph" w:styleId="Heading3">
    <w:name w:val="heading 3"/>
    <w:basedOn w:val="Normal"/>
    <w:next w:val="Normal"/>
    <w:link w:val="Heading3Char"/>
    <w:uiPriority w:val="9"/>
    <w:unhideWhenUsed/>
    <w:qFormat/>
    <w:rsid w:val="00F567F7"/>
    <w:pPr>
      <w:spacing w:before="200" w:after="0" w:line="271" w:lineRule="auto"/>
      <w:outlineLvl w:val="2"/>
    </w:pPr>
    <w:rPr>
      <w:rFonts w:eastAsiaTheme="majorEastAsia"/>
      <w:b/>
      <w:bCs/>
      <w:sz w:val="22"/>
      <w:lang w:val="en-AU"/>
    </w:rPr>
  </w:style>
  <w:style w:type="paragraph" w:styleId="Heading5">
    <w:name w:val="heading 5"/>
    <w:basedOn w:val="Normal"/>
    <w:next w:val="Normal"/>
    <w:link w:val="Heading5Char"/>
    <w:uiPriority w:val="9"/>
    <w:semiHidden/>
    <w:unhideWhenUsed/>
    <w:qFormat/>
    <w:rsid w:val="00F567F7"/>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F567F7"/>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F567F7"/>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F567F7"/>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F567F7"/>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65C"/>
    <w:pPr>
      <w:tabs>
        <w:tab w:val="center" w:pos="4320"/>
        <w:tab w:val="right" w:pos="8640"/>
      </w:tabs>
    </w:pPr>
  </w:style>
  <w:style w:type="paragraph" w:styleId="Footer">
    <w:name w:val="footer"/>
    <w:basedOn w:val="Normal"/>
    <w:link w:val="FooterChar"/>
    <w:uiPriority w:val="99"/>
    <w:rsid w:val="0037665C"/>
    <w:pPr>
      <w:tabs>
        <w:tab w:val="center" w:pos="4320"/>
        <w:tab w:val="right" w:pos="8640"/>
      </w:tabs>
    </w:pPr>
  </w:style>
  <w:style w:type="character" w:styleId="Hyperlink">
    <w:name w:val="Hyperlink"/>
    <w:rsid w:val="00880F47"/>
    <w:rPr>
      <w:color w:val="0000FF"/>
      <w:u w:val="single"/>
    </w:rPr>
  </w:style>
  <w:style w:type="character" w:styleId="FollowedHyperlink">
    <w:name w:val="FollowedHyperlink"/>
    <w:rsid w:val="009B77CF"/>
    <w:rPr>
      <w:color w:val="800080"/>
      <w:u w:val="single"/>
    </w:rPr>
  </w:style>
  <w:style w:type="table" w:styleId="TableGrid">
    <w:name w:val="Table Grid"/>
    <w:basedOn w:val="TableNormal"/>
    <w:rsid w:val="00E009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A3C98"/>
    <w:rPr>
      <w:rFonts w:ascii="Tahoma" w:hAnsi="Tahoma" w:cs="Tahoma"/>
      <w:sz w:val="16"/>
      <w:szCs w:val="16"/>
    </w:rPr>
  </w:style>
  <w:style w:type="character" w:customStyle="1" w:styleId="BalloonTextChar">
    <w:name w:val="Balloon Text Char"/>
    <w:link w:val="BalloonText"/>
    <w:rsid w:val="001A3C98"/>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F567F7"/>
    <w:rPr>
      <w:rFonts w:asciiTheme="minorBidi" w:eastAsiaTheme="majorEastAsia" w:hAnsiTheme="minorBidi"/>
      <w:b/>
      <w:bCs/>
      <w:sz w:val="26"/>
      <w:szCs w:val="26"/>
      <w:lang w:val="en-AU"/>
    </w:rPr>
  </w:style>
  <w:style w:type="character" w:customStyle="1" w:styleId="Heading2Char">
    <w:name w:val="Heading 2 Char"/>
    <w:basedOn w:val="DefaultParagraphFont"/>
    <w:link w:val="Heading2"/>
    <w:uiPriority w:val="9"/>
    <w:rsid w:val="00F567F7"/>
    <w:rPr>
      <w:rFonts w:asciiTheme="minorBidi" w:eastAsiaTheme="majorEastAsia" w:hAnsiTheme="minorBidi"/>
      <w:b/>
      <w:bCs/>
      <w:sz w:val="24"/>
      <w:szCs w:val="26"/>
      <w:lang w:val="en-AU"/>
    </w:rPr>
  </w:style>
  <w:style w:type="character" w:customStyle="1" w:styleId="Heading3Char">
    <w:name w:val="Heading 3 Char"/>
    <w:basedOn w:val="DefaultParagraphFont"/>
    <w:link w:val="Heading3"/>
    <w:uiPriority w:val="9"/>
    <w:rsid w:val="00F567F7"/>
    <w:rPr>
      <w:rFonts w:asciiTheme="minorBidi" w:eastAsiaTheme="majorEastAsia" w:hAnsiTheme="minorBidi"/>
      <w:b/>
      <w:bCs/>
      <w:lang w:val="en-AU"/>
    </w:rPr>
  </w:style>
  <w:style w:type="character" w:customStyle="1" w:styleId="Heading5Char">
    <w:name w:val="Heading 5 Char"/>
    <w:basedOn w:val="DefaultParagraphFont"/>
    <w:link w:val="Heading5"/>
    <w:uiPriority w:val="9"/>
    <w:semiHidden/>
    <w:rsid w:val="00F567F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567F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567F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567F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567F7"/>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qFormat/>
    <w:rsid w:val="00F567F7"/>
    <w:pPr>
      <w:spacing w:line="240" w:lineRule="auto"/>
    </w:pPr>
    <w:rPr>
      <w:b/>
      <w:bCs/>
      <w:color w:val="4F81BD" w:themeColor="accent1"/>
      <w:sz w:val="18"/>
      <w:szCs w:val="18"/>
    </w:rPr>
  </w:style>
  <w:style w:type="paragraph" w:styleId="Title">
    <w:name w:val="Title"/>
    <w:basedOn w:val="Normal"/>
    <w:next w:val="Normal"/>
    <w:link w:val="TitleChar"/>
    <w:uiPriority w:val="10"/>
    <w:qFormat/>
    <w:rsid w:val="00F567F7"/>
    <w:pPr>
      <w:tabs>
        <w:tab w:val="left" w:pos="720"/>
        <w:tab w:val="left" w:pos="1440"/>
        <w:tab w:val="left" w:pos="3710"/>
      </w:tabs>
      <w:spacing w:before="320" w:line="240" w:lineRule="auto"/>
      <w:contextualSpacing/>
    </w:pPr>
    <w:rPr>
      <w:rFonts w:eastAsiaTheme="majorEastAsia"/>
      <w:b/>
      <w:bCs/>
      <w:caps/>
      <w:color w:val="C00000"/>
      <w:spacing w:val="5"/>
      <w:sz w:val="32"/>
      <w:szCs w:val="32"/>
      <w:lang w:val="en-US"/>
    </w:rPr>
  </w:style>
  <w:style w:type="character" w:customStyle="1" w:styleId="TitleChar">
    <w:name w:val="Title Char"/>
    <w:basedOn w:val="DefaultParagraphFont"/>
    <w:link w:val="Title"/>
    <w:uiPriority w:val="10"/>
    <w:rsid w:val="00F567F7"/>
    <w:rPr>
      <w:rFonts w:asciiTheme="minorBidi" w:eastAsiaTheme="majorEastAsia" w:hAnsiTheme="minorBidi"/>
      <w:b/>
      <w:bCs/>
      <w:caps/>
      <w:color w:val="C00000"/>
      <w:spacing w:val="5"/>
      <w:sz w:val="32"/>
      <w:szCs w:val="32"/>
      <w:lang w:val="en-US"/>
    </w:rPr>
  </w:style>
  <w:style w:type="paragraph" w:styleId="Subtitle">
    <w:name w:val="Subtitle"/>
    <w:basedOn w:val="Normal"/>
    <w:next w:val="Normal"/>
    <w:link w:val="SubtitleChar"/>
    <w:uiPriority w:val="11"/>
    <w:qFormat/>
    <w:rsid w:val="00F567F7"/>
    <w:pPr>
      <w:spacing w:after="600"/>
    </w:pPr>
    <w:rPr>
      <w:rFonts w:eastAsiaTheme="majorEastAsia"/>
      <w:b/>
      <w:bCs/>
      <w:iCs/>
      <w:spacing w:val="13"/>
      <w:sz w:val="28"/>
      <w:szCs w:val="28"/>
      <w:lang w:val="en-AU"/>
    </w:rPr>
  </w:style>
  <w:style w:type="character" w:customStyle="1" w:styleId="SubtitleChar">
    <w:name w:val="Subtitle Char"/>
    <w:basedOn w:val="DefaultParagraphFont"/>
    <w:link w:val="Subtitle"/>
    <w:uiPriority w:val="11"/>
    <w:rsid w:val="00F567F7"/>
    <w:rPr>
      <w:rFonts w:asciiTheme="minorBidi" w:eastAsiaTheme="majorEastAsia" w:hAnsiTheme="minorBidi"/>
      <w:b/>
      <w:bCs/>
      <w:iCs/>
      <w:spacing w:val="13"/>
      <w:sz w:val="28"/>
      <w:szCs w:val="28"/>
      <w:lang w:val="en-AU"/>
    </w:rPr>
  </w:style>
  <w:style w:type="character" w:styleId="Strong">
    <w:name w:val="Strong"/>
    <w:uiPriority w:val="22"/>
    <w:rsid w:val="00221989"/>
    <w:rPr>
      <w:b/>
      <w:bCs/>
    </w:rPr>
  </w:style>
  <w:style w:type="paragraph" w:styleId="NoSpacing">
    <w:name w:val="No Spacing"/>
    <w:basedOn w:val="Normal"/>
    <w:link w:val="NoSpacingChar"/>
    <w:uiPriority w:val="1"/>
    <w:qFormat/>
    <w:rsid w:val="00F567F7"/>
    <w:pPr>
      <w:spacing w:after="0" w:line="240" w:lineRule="auto"/>
    </w:pPr>
    <w:rPr>
      <w:szCs w:val="20"/>
    </w:rPr>
  </w:style>
  <w:style w:type="character" w:customStyle="1" w:styleId="NoSpacingChar">
    <w:name w:val="No Spacing Char"/>
    <w:basedOn w:val="DefaultParagraphFont"/>
    <w:link w:val="NoSpacing"/>
    <w:uiPriority w:val="1"/>
    <w:rsid w:val="00F567F7"/>
    <w:rPr>
      <w:rFonts w:asciiTheme="minorBidi" w:hAnsiTheme="minorBidi"/>
      <w:sz w:val="20"/>
      <w:szCs w:val="20"/>
    </w:rPr>
  </w:style>
  <w:style w:type="paragraph" w:styleId="ListParagraph">
    <w:name w:val="List Paragraph"/>
    <w:basedOn w:val="Normal"/>
    <w:uiPriority w:val="34"/>
    <w:qFormat/>
    <w:rsid w:val="00F567F7"/>
    <w:pPr>
      <w:contextualSpacing/>
    </w:pPr>
    <w:rPr>
      <w:lang w:val="en-AU"/>
    </w:rPr>
  </w:style>
  <w:style w:type="paragraph" w:styleId="Quote">
    <w:name w:val="Quote"/>
    <w:basedOn w:val="Normal"/>
    <w:next w:val="Normal"/>
    <w:link w:val="QuoteChar"/>
    <w:uiPriority w:val="29"/>
    <w:qFormat/>
    <w:rsid w:val="00221989"/>
    <w:pPr>
      <w:spacing w:before="200" w:after="0"/>
      <w:ind w:left="360" w:right="360"/>
    </w:pPr>
    <w:rPr>
      <w:rFonts w:asciiTheme="minorHAnsi" w:hAnsiTheme="minorHAnsi"/>
      <w:i/>
      <w:iCs/>
      <w:sz w:val="22"/>
    </w:rPr>
  </w:style>
  <w:style w:type="character" w:customStyle="1" w:styleId="QuoteChar">
    <w:name w:val="Quote Char"/>
    <w:link w:val="Quote"/>
    <w:uiPriority w:val="29"/>
    <w:rsid w:val="00221989"/>
    <w:rPr>
      <w:i/>
      <w:iCs/>
    </w:rPr>
  </w:style>
  <w:style w:type="paragraph" w:styleId="TOCHeading">
    <w:name w:val="TOC Heading"/>
    <w:basedOn w:val="Heading1"/>
    <w:next w:val="Normal"/>
    <w:uiPriority w:val="39"/>
    <w:semiHidden/>
    <w:unhideWhenUsed/>
    <w:qFormat/>
    <w:rsid w:val="00F567F7"/>
    <w:pPr>
      <w:outlineLvl w:val="9"/>
    </w:pPr>
  </w:style>
  <w:style w:type="paragraph" w:customStyle="1" w:styleId="SubjectText">
    <w:name w:val="Subject Text"/>
    <w:basedOn w:val="Normal"/>
    <w:link w:val="SubjectTextChar"/>
    <w:qFormat/>
    <w:rsid w:val="00F567F7"/>
    <w:rPr>
      <w:b/>
      <w:bCs/>
      <w:sz w:val="22"/>
    </w:rPr>
  </w:style>
  <w:style w:type="character" w:customStyle="1" w:styleId="SubjectTextChar">
    <w:name w:val="Subject Text Char"/>
    <w:basedOn w:val="DefaultParagraphFont"/>
    <w:link w:val="SubjectText"/>
    <w:rsid w:val="00F567F7"/>
    <w:rPr>
      <w:rFonts w:asciiTheme="minorBidi" w:hAnsiTheme="minorBidi"/>
      <w:b/>
      <w:bCs/>
    </w:rPr>
  </w:style>
  <w:style w:type="numbering" w:customStyle="1" w:styleId="NoList1">
    <w:name w:val="No List1"/>
    <w:next w:val="NoList"/>
    <w:uiPriority w:val="99"/>
    <w:semiHidden/>
    <w:unhideWhenUsed/>
    <w:rsid w:val="001D1B5B"/>
  </w:style>
  <w:style w:type="character" w:customStyle="1" w:styleId="HeaderChar">
    <w:name w:val="Header Char"/>
    <w:basedOn w:val="DefaultParagraphFont"/>
    <w:link w:val="Header"/>
    <w:uiPriority w:val="99"/>
    <w:rsid w:val="001D1B5B"/>
    <w:rPr>
      <w:rFonts w:asciiTheme="minorBidi" w:hAnsiTheme="minorBidi"/>
      <w:sz w:val="20"/>
    </w:rPr>
  </w:style>
  <w:style w:type="character" w:customStyle="1" w:styleId="FooterChar">
    <w:name w:val="Footer Char"/>
    <w:basedOn w:val="DefaultParagraphFont"/>
    <w:link w:val="Footer"/>
    <w:uiPriority w:val="99"/>
    <w:rsid w:val="001D1B5B"/>
    <w:rPr>
      <w:rFonts w:asciiTheme="minorBidi" w:hAnsiTheme="minorBidi"/>
      <w:sz w:val="20"/>
    </w:rPr>
  </w:style>
  <w:style w:type="character" w:styleId="PageNumber">
    <w:name w:val="page number"/>
    <w:basedOn w:val="DefaultParagraphFont"/>
    <w:rsid w:val="001D1B5B"/>
  </w:style>
  <w:style w:type="paragraph" w:customStyle="1" w:styleId="BodyText1">
    <w:name w:val="Body Text1"/>
    <w:basedOn w:val="Heading1"/>
    <w:rsid w:val="001D1B5B"/>
    <w:pPr>
      <w:keepNext/>
      <w:spacing w:before="240" w:after="60" w:line="240" w:lineRule="auto"/>
      <w:ind w:left="170"/>
      <w:contextualSpacing w:val="0"/>
    </w:pPr>
    <w:rPr>
      <w:rFonts w:ascii="Arial" w:eastAsia="Times New Roman" w:hAnsi="Arial" w:cs="Times New Roman"/>
      <w:b w:val="0"/>
      <w:kern w:val="32"/>
      <w:sz w:val="22"/>
      <w:szCs w:val="32"/>
      <w:lang w:val="en-US"/>
    </w:rPr>
  </w:style>
  <w:style w:type="character" w:customStyle="1" w:styleId="longtext">
    <w:name w:val="long_text"/>
    <w:rsid w:val="001D1B5B"/>
  </w:style>
  <w:style w:type="paragraph" w:styleId="NormalWeb">
    <w:name w:val="Normal (Web)"/>
    <w:basedOn w:val="Normal"/>
    <w:uiPriority w:val="99"/>
    <w:unhideWhenUsed/>
    <w:rsid w:val="001D1B5B"/>
    <w:pPr>
      <w:spacing w:before="100" w:beforeAutospacing="1" w:after="100" w:afterAutospacing="1" w:line="240" w:lineRule="auto"/>
    </w:pPr>
    <w:rPr>
      <w:rFonts w:ascii="Times New Roman" w:eastAsiaTheme="minorEastAsia" w:hAnsi="Times New Roman" w:cs="Times New Roman"/>
      <w:sz w:val="24"/>
      <w:szCs w:val="24"/>
      <w:lang w:eastAsia="en-GB"/>
    </w:rPr>
  </w:style>
  <w:style w:type="numbering" w:customStyle="1" w:styleId="NoList11">
    <w:name w:val="No List11"/>
    <w:next w:val="NoList"/>
    <w:uiPriority w:val="99"/>
    <w:semiHidden/>
    <w:rsid w:val="001D1B5B"/>
  </w:style>
  <w:style w:type="character" w:styleId="CommentReference">
    <w:name w:val="annotation reference"/>
    <w:rsid w:val="001D1B5B"/>
    <w:rPr>
      <w:sz w:val="16"/>
      <w:szCs w:val="16"/>
    </w:rPr>
  </w:style>
  <w:style w:type="paragraph" w:styleId="CommentText">
    <w:name w:val="annotation text"/>
    <w:basedOn w:val="Normal"/>
    <w:link w:val="CommentTextChar"/>
    <w:rsid w:val="001D1B5B"/>
    <w:pPr>
      <w:spacing w:after="0" w:line="240" w:lineRule="auto"/>
    </w:pPr>
    <w:rPr>
      <w:rFonts w:ascii="Arial" w:eastAsia="Times New Roman" w:hAnsi="Arial" w:cs="Times New Roman"/>
      <w:szCs w:val="20"/>
      <w:lang w:val="en-US"/>
    </w:rPr>
  </w:style>
  <w:style w:type="character" w:customStyle="1" w:styleId="CommentTextChar">
    <w:name w:val="Comment Text Char"/>
    <w:basedOn w:val="DefaultParagraphFont"/>
    <w:link w:val="CommentText"/>
    <w:rsid w:val="001D1B5B"/>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1D1B5B"/>
    <w:rPr>
      <w:b/>
      <w:bCs/>
    </w:rPr>
  </w:style>
  <w:style w:type="character" w:customStyle="1" w:styleId="CommentSubjectChar">
    <w:name w:val="Comment Subject Char"/>
    <w:basedOn w:val="CommentTextChar"/>
    <w:link w:val="CommentSubject"/>
    <w:rsid w:val="001D1B5B"/>
    <w:rPr>
      <w:rFonts w:ascii="Arial" w:eastAsia="Times New Roman" w:hAnsi="Arial" w:cs="Times New Roman"/>
      <w:b/>
      <w:bCs/>
      <w:sz w:val="20"/>
      <w:szCs w:val="20"/>
      <w:lang w:val="en-US"/>
    </w:rPr>
  </w:style>
  <w:style w:type="paragraph" w:customStyle="1" w:styleId="Default">
    <w:name w:val="Default"/>
    <w:rsid w:val="001D1B5B"/>
    <w:pPr>
      <w:autoSpaceDE w:val="0"/>
      <w:autoSpaceDN w:val="0"/>
      <w:adjustRightInd w:val="0"/>
      <w:spacing w:after="0" w:line="240" w:lineRule="auto"/>
    </w:pPr>
    <w:rPr>
      <w:rFonts w:ascii="Frutiger LT 45 Light" w:eastAsia="Times New Roman" w:hAnsi="Frutiger LT 45 Light" w:cs="Frutiger LT 45 Light"/>
      <w:color w:val="000000"/>
      <w:sz w:val="24"/>
      <w:szCs w:val="24"/>
      <w:lang w:val="en-US"/>
    </w:rPr>
  </w:style>
  <w:style w:type="numbering" w:customStyle="1" w:styleId="NoList2">
    <w:name w:val="No List2"/>
    <w:next w:val="NoList"/>
    <w:semiHidden/>
    <w:rsid w:val="001D1B5B"/>
  </w:style>
  <w:style w:type="numbering" w:customStyle="1" w:styleId="NoList3">
    <w:name w:val="No List3"/>
    <w:next w:val="NoList"/>
    <w:semiHidden/>
    <w:rsid w:val="001D1B5B"/>
  </w:style>
  <w:style w:type="table" w:customStyle="1" w:styleId="TableGrid1">
    <w:name w:val="Table Grid1"/>
    <w:basedOn w:val="TableNormal"/>
    <w:next w:val="TableGrid"/>
    <w:rsid w:val="001D1B5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D1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Normal"/>
    <w:next w:val="Normal"/>
    <w:unhideWhenUsed/>
    <w:qFormat/>
    <w:rsid w:val="001D1B5B"/>
    <w:pPr>
      <w:spacing w:before="200" w:after="0" w:line="240" w:lineRule="auto"/>
      <w:outlineLvl w:val="1"/>
    </w:pPr>
    <w:rPr>
      <w:rFonts w:ascii="Arial" w:eastAsia="PMingLiU" w:hAnsi="Arial" w:cs="Times New Roman"/>
      <w:b/>
      <w:bCs/>
      <w:sz w:val="24"/>
      <w:szCs w:val="26"/>
      <w:lang w:val="en-AU"/>
    </w:rPr>
  </w:style>
  <w:style w:type="paragraph" w:customStyle="1" w:styleId="Heading31">
    <w:name w:val="Heading 31"/>
    <w:basedOn w:val="Normal"/>
    <w:next w:val="Normal"/>
    <w:uiPriority w:val="9"/>
    <w:unhideWhenUsed/>
    <w:qFormat/>
    <w:rsid w:val="001D1B5B"/>
    <w:pPr>
      <w:spacing w:before="200" w:after="0" w:line="271" w:lineRule="auto"/>
      <w:outlineLvl w:val="2"/>
    </w:pPr>
    <w:rPr>
      <w:rFonts w:ascii="Arial" w:eastAsia="PMingLiU" w:hAnsi="Arial" w:cs="Times New Roman"/>
      <w:b/>
      <w:bCs/>
      <w:sz w:val="22"/>
      <w:lang w:val="en-AU"/>
    </w:rPr>
  </w:style>
  <w:style w:type="paragraph" w:customStyle="1" w:styleId="Heading51">
    <w:name w:val="Heading 51"/>
    <w:basedOn w:val="Normal"/>
    <w:next w:val="Normal"/>
    <w:uiPriority w:val="9"/>
    <w:semiHidden/>
    <w:unhideWhenUsed/>
    <w:qFormat/>
    <w:rsid w:val="001D1B5B"/>
    <w:pPr>
      <w:spacing w:before="200" w:after="0" w:line="240" w:lineRule="auto"/>
      <w:outlineLvl w:val="4"/>
    </w:pPr>
    <w:rPr>
      <w:rFonts w:ascii="Cambria" w:eastAsia="PMingLiU" w:hAnsi="Cambria" w:cs="Times New Roman"/>
      <w:b/>
      <w:bCs/>
      <w:color w:val="7F7F7F"/>
      <w:sz w:val="22"/>
      <w:lang w:val="en-US"/>
    </w:rPr>
  </w:style>
  <w:style w:type="paragraph" w:customStyle="1" w:styleId="Heading61">
    <w:name w:val="Heading 61"/>
    <w:basedOn w:val="Normal"/>
    <w:next w:val="Normal"/>
    <w:uiPriority w:val="9"/>
    <w:semiHidden/>
    <w:unhideWhenUsed/>
    <w:qFormat/>
    <w:rsid w:val="001D1B5B"/>
    <w:pPr>
      <w:spacing w:after="0" w:line="271" w:lineRule="auto"/>
      <w:outlineLvl w:val="5"/>
    </w:pPr>
    <w:rPr>
      <w:rFonts w:ascii="Cambria" w:eastAsia="PMingLiU" w:hAnsi="Cambria" w:cs="Times New Roman"/>
      <w:b/>
      <w:bCs/>
      <w:i/>
      <w:iCs/>
      <w:color w:val="7F7F7F"/>
      <w:sz w:val="22"/>
      <w:lang w:val="en-US"/>
    </w:rPr>
  </w:style>
  <w:style w:type="paragraph" w:customStyle="1" w:styleId="Heading71">
    <w:name w:val="Heading 71"/>
    <w:basedOn w:val="Normal"/>
    <w:next w:val="Normal"/>
    <w:uiPriority w:val="9"/>
    <w:semiHidden/>
    <w:unhideWhenUsed/>
    <w:qFormat/>
    <w:rsid w:val="001D1B5B"/>
    <w:pPr>
      <w:spacing w:after="0" w:line="240" w:lineRule="auto"/>
      <w:outlineLvl w:val="6"/>
    </w:pPr>
    <w:rPr>
      <w:rFonts w:ascii="Cambria" w:eastAsia="PMingLiU" w:hAnsi="Cambria" w:cs="Times New Roman"/>
      <w:i/>
      <w:iCs/>
      <w:sz w:val="22"/>
      <w:lang w:val="en-US"/>
    </w:rPr>
  </w:style>
  <w:style w:type="paragraph" w:customStyle="1" w:styleId="Heading81">
    <w:name w:val="Heading 81"/>
    <w:basedOn w:val="Normal"/>
    <w:next w:val="Normal"/>
    <w:uiPriority w:val="9"/>
    <w:semiHidden/>
    <w:unhideWhenUsed/>
    <w:qFormat/>
    <w:rsid w:val="001D1B5B"/>
    <w:pPr>
      <w:spacing w:after="0" w:line="240" w:lineRule="auto"/>
      <w:outlineLvl w:val="7"/>
    </w:pPr>
    <w:rPr>
      <w:rFonts w:ascii="Cambria" w:eastAsia="PMingLiU" w:hAnsi="Cambria" w:cs="Times New Roman"/>
      <w:sz w:val="22"/>
      <w:szCs w:val="20"/>
      <w:lang w:val="en-US"/>
    </w:rPr>
  </w:style>
  <w:style w:type="paragraph" w:customStyle="1" w:styleId="Heading91">
    <w:name w:val="Heading 91"/>
    <w:basedOn w:val="Normal"/>
    <w:next w:val="Normal"/>
    <w:uiPriority w:val="9"/>
    <w:semiHidden/>
    <w:unhideWhenUsed/>
    <w:qFormat/>
    <w:rsid w:val="001D1B5B"/>
    <w:pPr>
      <w:spacing w:after="0" w:line="240" w:lineRule="auto"/>
      <w:outlineLvl w:val="8"/>
    </w:pPr>
    <w:rPr>
      <w:rFonts w:ascii="Cambria" w:eastAsia="PMingLiU" w:hAnsi="Cambria" w:cs="Times New Roman"/>
      <w:i/>
      <w:iCs/>
      <w:spacing w:val="5"/>
      <w:sz w:val="22"/>
      <w:szCs w:val="20"/>
      <w:lang w:val="en-US"/>
    </w:rPr>
  </w:style>
  <w:style w:type="paragraph" w:customStyle="1" w:styleId="Caption1">
    <w:name w:val="Caption1"/>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paragraph" w:customStyle="1" w:styleId="Title1">
    <w:name w:val="Title1"/>
    <w:basedOn w:val="Normal"/>
    <w:next w:val="Normal"/>
    <w:uiPriority w:val="10"/>
    <w:qFormat/>
    <w:rsid w:val="001D1B5B"/>
    <w:pPr>
      <w:tabs>
        <w:tab w:val="left" w:pos="720"/>
        <w:tab w:val="left" w:pos="1440"/>
        <w:tab w:val="left" w:pos="3710"/>
      </w:tabs>
      <w:spacing w:before="320" w:after="0" w:line="240" w:lineRule="auto"/>
      <w:contextualSpacing/>
    </w:pPr>
    <w:rPr>
      <w:rFonts w:ascii="Arial" w:eastAsia="PMingLiU" w:hAnsi="Arial" w:cs="Times New Roman"/>
      <w:b/>
      <w:bCs/>
      <w:caps/>
      <w:color w:val="C00000"/>
      <w:spacing w:val="5"/>
      <w:sz w:val="32"/>
      <w:szCs w:val="32"/>
      <w:lang w:val="en-US"/>
    </w:rPr>
  </w:style>
  <w:style w:type="paragraph" w:customStyle="1" w:styleId="Subtitle1">
    <w:name w:val="Subtitle1"/>
    <w:basedOn w:val="Normal"/>
    <w:next w:val="Normal"/>
    <w:uiPriority w:val="11"/>
    <w:qFormat/>
    <w:rsid w:val="001D1B5B"/>
    <w:pPr>
      <w:spacing w:after="600" w:line="240" w:lineRule="auto"/>
    </w:pPr>
    <w:rPr>
      <w:rFonts w:ascii="Arial" w:eastAsia="PMingLiU" w:hAnsi="Arial" w:cs="Times New Roman"/>
      <w:b/>
      <w:bCs/>
      <w:iCs/>
      <w:spacing w:val="13"/>
      <w:sz w:val="28"/>
      <w:szCs w:val="28"/>
      <w:lang w:val="en-AU"/>
    </w:rPr>
  </w:style>
  <w:style w:type="paragraph" w:customStyle="1" w:styleId="Quote1">
    <w:name w:val="Quote1"/>
    <w:basedOn w:val="Normal"/>
    <w:next w:val="Normal"/>
    <w:uiPriority w:val="29"/>
    <w:rsid w:val="001D1B5B"/>
    <w:pPr>
      <w:spacing w:before="200" w:after="0" w:line="240" w:lineRule="auto"/>
      <w:ind w:left="360" w:right="360"/>
    </w:pPr>
    <w:rPr>
      <w:rFonts w:ascii="Calibri" w:eastAsia="Times New Roman" w:hAnsi="Calibri" w:cs="Times New Roman"/>
      <w:i/>
      <w:iCs/>
      <w:sz w:val="22"/>
      <w:lang w:val="en-US"/>
    </w:rPr>
  </w:style>
  <w:style w:type="paragraph" w:customStyle="1" w:styleId="NormalWeb1">
    <w:name w:val="Normal (Web)1"/>
    <w:basedOn w:val="Normal"/>
    <w:next w:val="NormalWeb"/>
    <w:uiPriority w:val="99"/>
    <w:unhideWhenUsed/>
    <w:rsid w:val="001D1B5B"/>
    <w:pPr>
      <w:spacing w:before="100" w:beforeAutospacing="1" w:after="100" w:afterAutospacing="1" w:line="240" w:lineRule="auto"/>
    </w:pPr>
    <w:rPr>
      <w:rFonts w:ascii="Times New Roman" w:eastAsia="PMingLiU" w:hAnsi="Times New Roman" w:cs="Times New Roman"/>
      <w:sz w:val="24"/>
      <w:szCs w:val="24"/>
      <w:lang w:eastAsia="en-GB"/>
    </w:rPr>
  </w:style>
  <w:style w:type="numbering" w:customStyle="1" w:styleId="NoList111">
    <w:name w:val="No List111"/>
    <w:next w:val="NoList"/>
    <w:semiHidden/>
    <w:rsid w:val="001D1B5B"/>
  </w:style>
  <w:style w:type="character" w:customStyle="1" w:styleId="Heading2Char1">
    <w:name w:val="Heading 2 Char1"/>
    <w:basedOn w:val="DefaultParagraphFont"/>
    <w:semiHidden/>
    <w:rsid w:val="001D1B5B"/>
    <w:rPr>
      <w:rFonts w:asciiTheme="majorHAnsi" w:eastAsiaTheme="majorEastAsia" w:hAnsiTheme="majorHAnsi" w:cstheme="majorBidi"/>
      <w:b/>
      <w:bCs/>
      <w:color w:val="4F81BD" w:themeColor="accent1"/>
      <w:sz w:val="26"/>
      <w:szCs w:val="26"/>
      <w:lang w:val="en-US" w:eastAsia="en-US"/>
    </w:rPr>
  </w:style>
  <w:style w:type="character" w:customStyle="1" w:styleId="Heading3Char1">
    <w:name w:val="Heading 3 Char1"/>
    <w:basedOn w:val="DefaultParagraphFont"/>
    <w:semiHidden/>
    <w:rsid w:val="001D1B5B"/>
    <w:rPr>
      <w:rFonts w:asciiTheme="majorHAnsi" w:eastAsiaTheme="majorEastAsia" w:hAnsiTheme="majorHAnsi" w:cstheme="majorBidi"/>
      <w:b/>
      <w:bCs/>
      <w:color w:val="4F81BD" w:themeColor="accent1"/>
      <w:sz w:val="22"/>
      <w:szCs w:val="22"/>
      <w:lang w:val="en-US" w:eastAsia="en-US"/>
    </w:rPr>
  </w:style>
  <w:style w:type="character" w:customStyle="1" w:styleId="Heading5Char1">
    <w:name w:val="Heading 5 Char1"/>
    <w:basedOn w:val="DefaultParagraphFont"/>
    <w:semiHidden/>
    <w:rsid w:val="001D1B5B"/>
    <w:rPr>
      <w:rFonts w:asciiTheme="majorHAnsi" w:eastAsiaTheme="majorEastAsia" w:hAnsiTheme="majorHAnsi" w:cstheme="majorBidi"/>
      <w:color w:val="243F60" w:themeColor="accent1" w:themeShade="7F"/>
      <w:sz w:val="22"/>
      <w:szCs w:val="22"/>
      <w:lang w:val="en-US" w:eastAsia="en-US"/>
    </w:rPr>
  </w:style>
  <w:style w:type="character" w:customStyle="1" w:styleId="Heading6Char1">
    <w:name w:val="Heading 6 Char1"/>
    <w:basedOn w:val="DefaultParagraphFont"/>
    <w:semiHidden/>
    <w:rsid w:val="001D1B5B"/>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1">
    <w:name w:val="Heading 7 Char1"/>
    <w:basedOn w:val="DefaultParagraphFont"/>
    <w:semiHidden/>
    <w:rsid w:val="001D1B5B"/>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1">
    <w:name w:val="Heading 8 Char1"/>
    <w:basedOn w:val="DefaultParagraphFont"/>
    <w:semiHidden/>
    <w:rsid w:val="001D1B5B"/>
    <w:rPr>
      <w:rFonts w:asciiTheme="majorHAnsi" w:eastAsiaTheme="majorEastAsia" w:hAnsiTheme="majorHAnsi" w:cstheme="majorBidi"/>
      <w:color w:val="404040" w:themeColor="text1" w:themeTint="BF"/>
      <w:lang w:val="en-US" w:eastAsia="en-US"/>
    </w:rPr>
  </w:style>
  <w:style w:type="character" w:customStyle="1" w:styleId="Heading9Char1">
    <w:name w:val="Heading 9 Char1"/>
    <w:basedOn w:val="DefaultParagraphFont"/>
    <w:semiHidden/>
    <w:rsid w:val="001D1B5B"/>
    <w:rPr>
      <w:rFonts w:asciiTheme="majorHAnsi" w:eastAsiaTheme="majorEastAsia" w:hAnsiTheme="majorHAnsi" w:cstheme="majorBidi"/>
      <w:i/>
      <w:iCs/>
      <w:color w:val="404040" w:themeColor="text1" w:themeTint="BF"/>
      <w:lang w:val="en-US" w:eastAsia="en-US"/>
    </w:rPr>
  </w:style>
  <w:style w:type="character" w:customStyle="1" w:styleId="TitleChar1">
    <w:name w:val="Title Char1"/>
    <w:basedOn w:val="DefaultParagraphFont"/>
    <w:rsid w:val="001D1B5B"/>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SubtitleChar1">
    <w:name w:val="Subtitle Char1"/>
    <w:basedOn w:val="DefaultParagraphFont"/>
    <w:rsid w:val="001D1B5B"/>
    <w:rPr>
      <w:rFonts w:asciiTheme="majorHAnsi" w:eastAsiaTheme="majorEastAsia" w:hAnsiTheme="majorHAnsi" w:cstheme="majorBidi"/>
      <w:i/>
      <w:iCs/>
      <w:color w:val="4F81BD" w:themeColor="accent1"/>
      <w:spacing w:val="15"/>
      <w:sz w:val="24"/>
      <w:szCs w:val="24"/>
      <w:lang w:val="en-US" w:eastAsia="en-US"/>
    </w:rPr>
  </w:style>
  <w:style w:type="character" w:customStyle="1" w:styleId="QuoteChar1">
    <w:name w:val="Quote Char1"/>
    <w:basedOn w:val="DefaultParagraphFont"/>
    <w:uiPriority w:val="29"/>
    <w:rsid w:val="001D1B5B"/>
    <w:rPr>
      <w:rFonts w:ascii="Arial" w:hAnsi="Arial"/>
      <w:i/>
      <w:iCs/>
      <w:color w:val="000000" w:themeColor="text1"/>
      <w:sz w:val="22"/>
      <w:szCs w:val="22"/>
      <w:lang w:val="en-US" w:eastAsia="en-US"/>
    </w:rPr>
  </w:style>
  <w:style w:type="numbering" w:customStyle="1" w:styleId="NoList4">
    <w:name w:val="No List4"/>
    <w:next w:val="NoList"/>
    <w:uiPriority w:val="99"/>
    <w:semiHidden/>
    <w:unhideWhenUsed/>
    <w:rsid w:val="001D1B5B"/>
  </w:style>
  <w:style w:type="paragraph" w:customStyle="1" w:styleId="Caption2">
    <w:name w:val="Caption2"/>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numbering" w:customStyle="1" w:styleId="NoList12">
    <w:name w:val="No List12"/>
    <w:next w:val="NoList"/>
    <w:semiHidden/>
    <w:rsid w:val="001D1B5B"/>
  </w:style>
  <w:style w:type="numbering" w:customStyle="1" w:styleId="NoList21">
    <w:name w:val="No List21"/>
    <w:next w:val="NoList"/>
    <w:semiHidden/>
    <w:rsid w:val="001D1B5B"/>
  </w:style>
  <w:style w:type="numbering" w:customStyle="1" w:styleId="NoList31">
    <w:name w:val="No List31"/>
    <w:next w:val="NoList"/>
    <w:semiHidden/>
    <w:rsid w:val="001D1B5B"/>
  </w:style>
  <w:style w:type="table" w:customStyle="1" w:styleId="TableGrid11">
    <w:name w:val="Table Grid11"/>
    <w:basedOn w:val="TableNormal"/>
    <w:next w:val="TableGrid"/>
    <w:rsid w:val="001D1B5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94498">
      <w:bodyDiv w:val="1"/>
      <w:marLeft w:val="0"/>
      <w:marRight w:val="0"/>
      <w:marTop w:val="0"/>
      <w:marBottom w:val="0"/>
      <w:divBdr>
        <w:top w:val="none" w:sz="0" w:space="0" w:color="auto"/>
        <w:left w:val="none" w:sz="0" w:space="0" w:color="auto"/>
        <w:bottom w:val="none" w:sz="0" w:space="0" w:color="auto"/>
        <w:right w:val="none" w:sz="0" w:space="0" w:color="auto"/>
      </w:divBdr>
    </w:div>
    <w:div w:id="1582720560">
      <w:bodyDiv w:val="1"/>
      <w:marLeft w:val="0"/>
      <w:marRight w:val="0"/>
      <w:marTop w:val="0"/>
      <w:marBottom w:val="0"/>
      <w:divBdr>
        <w:top w:val="none" w:sz="0" w:space="0" w:color="auto"/>
        <w:left w:val="none" w:sz="0" w:space="0" w:color="auto"/>
        <w:bottom w:val="none" w:sz="0" w:space="0" w:color="auto"/>
        <w:right w:val="none" w:sz="0" w:space="0" w:color="auto"/>
      </w:divBdr>
      <w:divsChild>
        <w:div w:id="219293571">
          <w:marLeft w:val="0"/>
          <w:marRight w:val="0"/>
          <w:marTop w:val="0"/>
          <w:marBottom w:val="0"/>
          <w:divBdr>
            <w:top w:val="none" w:sz="0" w:space="0" w:color="auto"/>
            <w:left w:val="none" w:sz="0" w:space="0" w:color="auto"/>
            <w:bottom w:val="none" w:sz="0" w:space="0" w:color="auto"/>
            <w:right w:val="none" w:sz="0" w:space="0" w:color="auto"/>
          </w:divBdr>
          <w:divsChild>
            <w:div w:id="203175741">
              <w:marLeft w:val="0"/>
              <w:marRight w:val="0"/>
              <w:marTop w:val="0"/>
              <w:marBottom w:val="0"/>
              <w:divBdr>
                <w:top w:val="none" w:sz="0" w:space="0" w:color="auto"/>
                <w:left w:val="none" w:sz="0" w:space="0" w:color="auto"/>
                <w:bottom w:val="none" w:sz="0" w:space="0" w:color="auto"/>
                <w:right w:val="none" w:sz="0" w:space="0" w:color="auto"/>
              </w:divBdr>
            </w:div>
            <w:div w:id="372967747">
              <w:marLeft w:val="0"/>
              <w:marRight w:val="0"/>
              <w:marTop w:val="0"/>
              <w:marBottom w:val="0"/>
              <w:divBdr>
                <w:top w:val="none" w:sz="0" w:space="0" w:color="auto"/>
                <w:left w:val="none" w:sz="0" w:space="0" w:color="auto"/>
                <w:bottom w:val="none" w:sz="0" w:space="0" w:color="auto"/>
                <w:right w:val="none" w:sz="0" w:space="0" w:color="auto"/>
              </w:divBdr>
            </w:div>
            <w:div w:id="1110049335">
              <w:marLeft w:val="0"/>
              <w:marRight w:val="0"/>
              <w:marTop w:val="0"/>
              <w:marBottom w:val="0"/>
              <w:divBdr>
                <w:top w:val="none" w:sz="0" w:space="0" w:color="auto"/>
                <w:left w:val="none" w:sz="0" w:space="0" w:color="auto"/>
                <w:bottom w:val="none" w:sz="0" w:space="0" w:color="auto"/>
                <w:right w:val="none" w:sz="0" w:space="0" w:color="auto"/>
              </w:divBdr>
            </w:div>
            <w:div w:id="1461535492">
              <w:marLeft w:val="0"/>
              <w:marRight w:val="0"/>
              <w:marTop w:val="0"/>
              <w:marBottom w:val="0"/>
              <w:divBdr>
                <w:top w:val="none" w:sz="0" w:space="0" w:color="auto"/>
                <w:left w:val="none" w:sz="0" w:space="0" w:color="auto"/>
                <w:bottom w:val="none" w:sz="0" w:space="0" w:color="auto"/>
                <w:right w:val="none" w:sz="0" w:space="0" w:color="auto"/>
              </w:divBdr>
            </w:div>
            <w:div w:id="18784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CCF44-BB65-4D62-A765-F7042CAA9081}">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file>